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573F" w14:textId="6A2145B5" w:rsidR="00E203C2" w:rsidRDefault="00E203C2" w:rsidP="000C5955">
      <w:r>
        <w:rPr>
          <w:noProof/>
          <w:lang w:eastAsia="en-GB" w:bidi="ar-SA"/>
        </w:rPr>
        <w:drawing>
          <wp:inline distT="0" distB="0" distL="0" distR="0" wp14:anchorId="53705D84" wp14:editId="0B2799BB">
            <wp:extent cx="3488400" cy="612000"/>
            <wp:effectExtent l="0" t="0" r="0" b="0"/>
            <wp:docPr id="3"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41D84B5" w14:textId="77777777" w:rsidR="00B01313" w:rsidRPr="004761B2" w:rsidRDefault="00B01313" w:rsidP="00CA641D">
      <w:pPr>
        <w:rPr>
          <w:b/>
          <w:sz w:val="16"/>
          <w:szCs w:val="16"/>
        </w:rPr>
      </w:pPr>
    </w:p>
    <w:p w14:paraId="15B16D4B" w14:textId="15E7CDF8" w:rsidR="00CA641D" w:rsidRPr="004761B2" w:rsidRDefault="004761B2" w:rsidP="480FFCDD">
      <w:pPr>
        <w:rPr>
          <w:b/>
          <w:bCs/>
          <w:sz w:val="28"/>
          <w:szCs w:val="28"/>
        </w:rPr>
      </w:pPr>
      <w:r w:rsidRPr="004761B2">
        <w:rPr>
          <w:b/>
          <w:bCs/>
          <w:sz w:val="28"/>
          <w:szCs w:val="28"/>
        </w:rPr>
        <w:t>28</w:t>
      </w:r>
      <w:r w:rsidR="0B352D09" w:rsidRPr="004761B2">
        <w:rPr>
          <w:b/>
          <w:bCs/>
          <w:sz w:val="28"/>
          <w:szCs w:val="28"/>
        </w:rPr>
        <w:t xml:space="preserve"> September 2022</w:t>
      </w:r>
    </w:p>
    <w:p w14:paraId="52BA9928" w14:textId="04B8A8E9" w:rsidR="00CA641D" w:rsidRPr="004761B2" w:rsidRDefault="004761B2" w:rsidP="00CA641D">
      <w:pPr>
        <w:rPr>
          <w:b/>
          <w:sz w:val="28"/>
          <w:szCs w:val="28"/>
        </w:rPr>
      </w:pPr>
      <w:r w:rsidRPr="004761B2">
        <w:rPr>
          <w:b/>
          <w:sz w:val="28"/>
          <w:szCs w:val="28"/>
        </w:rPr>
        <w:t>215-22</w:t>
      </w:r>
    </w:p>
    <w:p w14:paraId="5B92753D" w14:textId="77777777" w:rsidR="0057615C" w:rsidRPr="004761B2" w:rsidRDefault="0057615C" w:rsidP="00690206">
      <w:pPr>
        <w:pStyle w:val="FSTitle"/>
        <w:rPr>
          <w:b/>
          <w:sz w:val="22"/>
        </w:rPr>
      </w:pPr>
    </w:p>
    <w:p w14:paraId="1CA8799B" w14:textId="35AAD4FE" w:rsidR="00092CDA" w:rsidRPr="005B7A73" w:rsidRDefault="00092CDA" w:rsidP="00690206">
      <w:pPr>
        <w:pStyle w:val="FSTitle"/>
        <w:rPr>
          <w:b/>
        </w:rPr>
      </w:pPr>
      <w:r w:rsidRPr="004761B2">
        <w:rPr>
          <w:b/>
        </w:rPr>
        <w:t>S</w:t>
      </w:r>
      <w:r w:rsidR="00B12F1E" w:rsidRPr="004761B2">
        <w:rPr>
          <w:b/>
        </w:rPr>
        <w:t xml:space="preserve">upporting </w:t>
      </w:r>
      <w:r w:rsidR="00B12F1E" w:rsidRPr="00E77534">
        <w:rPr>
          <w:b/>
        </w:rPr>
        <w:t>document</w:t>
      </w:r>
      <w:r w:rsidRPr="00E77534">
        <w:rPr>
          <w:b/>
        </w:rPr>
        <w:t xml:space="preserve"> </w:t>
      </w:r>
      <w:r w:rsidR="00CF0606" w:rsidRPr="00E77534">
        <w:rPr>
          <w:b/>
        </w:rPr>
        <w:t>1</w:t>
      </w:r>
    </w:p>
    <w:p w14:paraId="064DFDFD" w14:textId="77777777" w:rsidR="00BA24E2" w:rsidRDefault="00BA24E2" w:rsidP="00E203C2"/>
    <w:p w14:paraId="79157BBE" w14:textId="047262B8" w:rsidR="00D056F1" w:rsidRPr="00CF0606" w:rsidRDefault="00320839" w:rsidP="00690206">
      <w:pPr>
        <w:pStyle w:val="FSTitle"/>
      </w:pPr>
      <w:r w:rsidRPr="00CF0606">
        <w:t xml:space="preserve">Risk </w:t>
      </w:r>
      <w:r w:rsidR="00F600AF">
        <w:t>and technical</w:t>
      </w:r>
      <w:r w:rsidRPr="00CF0606">
        <w:t xml:space="preserve"> assessment</w:t>
      </w:r>
      <w:r w:rsidR="006B5EBE" w:rsidRPr="00CF0606">
        <w:t xml:space="preserve"> – </w:t>
      </w:r>
      <w:r w:rsidR="00D056F1" w:rsidRPr="00CF0606">
        <w:t>A</w:t>
      </w:r>
      <w:r w:rsidR="00CF0606" w:rsidRPr="00CF0606">
        <w:t>pplication A12</w:t>
      </w:r>
      <w:r w:rsidR="009E035E">
        <w:t>52</w:t>
      </w:r>
    </w:p>
    <w:p w14:paraId="48392800" w14:textId="77777777" w:rsidR="00E203C2" w:rsidRPr="0054482B" w:rsidRDefault="00E203C2" w:rsidP="00690206">
      <w:pPr>
        <w:rPr>
          <w:sz w:val="16"/>
          <w:szCs w:val="16"/>
        </w:rPr>
      </w:pPr>
    </w:p>
    <w:p w14:paraId="5D47B8C4" w14:textId="77777777" w:rsidR="009E035E" w:rsidRPr="00D95ABF" w:rsidRDefault="009E035E" w:rsidP="009E035E">
      <w:pPr>
        <w:pStyle w:val="Title"/>
        <w:jc w:val="left"/>
        <w:rPr>
          <w:b w:val="0"/>
          <w:i w:val="0"/>
          <w:sz w:val="32"/>
          <w:szCs w:val="32"/>
          <w:lang w:val="en-GB"/>
        </w:rPr>
      </w:pPr>
      <w:r w:rsidRPr="00D95ABF">
        <w:rPr>
          <w:b w:val="0"/>
          <w:i w:val="0"/>
          <w:sz w:val="32"/>
          <w:szCs w:val="32"/>
          <w:lang w:val="en-GB"/>
        </w:rPr>
        <w:t xml:space="preserve">Glucoamylase from GM </w:t>
      </w:r>
      <w:r w:rsidRPr="00D95ABF">
        <w:rPr>
          <w:b w:val="0"/>
          <w:sz w:val="32"/>
          <w:szCs w:val="32"/>
          <w:lang w:val="en-GB"/>
        </w:rPr>
        <w:t>Aspergillus niger</w:t>
      </w:r>
      <w:r w:rsidRPr="00D95ABF">
        <w:rPr>
          <w:b w:val="0"/>
          <w:i w:val="0"/>
          <w:sz w:val="32"/>
          <w:szCs w:val="32"/>
          <w:lang w:val="en-GB"/>
        </w:rPr>
        <w:t xml:space="preserve"> (gene donor</w:t>
      </w:r>
      <w:r>
        <w:rPr>
          <w:b w:val="0"/>
          <w:i w:val="0"/>
          <w:sz w:val="32"/>
          <w:szCs w:val="32"/>
          <w:lang w:val="en-GB"/>
        </w:rPr>
        <w:t>:</w:t>
      </w:r>
      <w:r w:rsidRPr="00D95ABF">
        <w:rPr>
          <w:b w:val="0"/>
          <w:i w:val="0"/>
          <w:sz w:val="32"/>
          <w:szCs w:val="32"/>
          <w:lang w:val="en-GB"/>
        </w:rPr>
        <w:t xml:space="preserve"> </w:t>
      </w:r>
      <w:r w:rsidRPr="00D95ABF">
        <w:rPr>
          <w:b w:val="0"/>
          <w:sz w:val="32"/>
          <w:szCs w:val="32"/>
          <w:lang w:val="en-GB"/>
        </w:rPr>
        <w:t>Penicillium oxalicum</w:t>
      </w:r>
      <w:r w:rsidRPr="00D95ABF">
        <w:rPr>
          <w:b w:val="0"/>
          <w:i w:val="0"/>
          <w:sz w:val="32"/>
          <w:szCs w:val="32"/>
          <w:lang w:val="en-GB"/>
        </w:rPr>
        <w:t xml:space="preserve">) </w:t>
      </w:r>
      <w:r>
        <w:rPr>
          <w:b w:val="0"/>
          <w:i w:val="0"/>
          <w:sz w:val="32"/>
          <w:szCs w:val="32"/>
          <w:lang w:val="en-GB"/>
        </w:rPr>
        <w:t>as a processing aid</w:t>
      </w:r>
    </w:p>
    <w:p w14:paraId="3CA16420" w14:textId="313D06D9" w:rsidR="00E203C2" w:rsidRPr="00B37BF0" w:rsidRDefault="00E203C2" w:rsidP="10190BF8">
      <w:pPr>
        <w:spacing w:line="280" w:lineRule="exact"/>
        <w:rPr>
          <w:szCs w:val="22"/>
        </w:rPr>
      </w:pPr>
    </w:p>
    <w:p w14:paraId="168AF5F2" w14:textId="77777777" w:rsidR="00092CDA" w:rsidRPr="00092CDA" w:rsidRDefault="00092CDA" w:rsidP="00352CF2">
      <w:pPr>
        <w:pStyle w:val="Heading1"/>
        <w:spacing w:before="0"/>
      </w:pPr>
      <w:bookmarkStart w:id="0" w:name="_Toc286391001"/>
      <w:bookmarkStart w:id="1" w:name="_Toc300933414"/>
      <w:bookmarkStart w:id="2" w:name="_Toc100321325"/>
      <w:bookmarkStart w:id="3" w:name="_Toc100325010"/>
      <w:bookmarkStart w:id="4" w:name="_Toc109984704"/>
      <w:r w:rsidRPr="00092CDA">
        <w:t xml:space="preserve">Executive </w:t>
      </w:r>
      <w:r w:rsidR="00B12F1E">
        <w:t>s</w:t>
      </w:r>
      <w:r w:rsidRPr="00092CDA">
        <w:t>ummary</w:t>
      </w:r>
      <w:bookmarkEnd w:id="0"/>
      <w:bookmarkEnd w:id="1"/>
      <w:bookmarkEnd w:id="2"/>
      <w:bookmarkEnd w:id="3"/>
      <w:bookmarkEnd w:id="4"/>
    </w:p>
    <w:p w14:paraId="67415F4B" w14:textId="04DB542F" w:rsidR="00377E41" w:rsidRDefault="645B6C90" w:rsidP="00B64595">
      <w:pPr>
        <w:spacing w:after="240"/>
      </w:pPr>
      <w:r>
        <w:t xml:space="preserve">Novozymes Australia Pty </w:t>
      </w:r>
      <w:r w:rsidR="66F2FD2D">
        <w:t>L</w:t>
      </w:r>
      <w:r w:rsidR="292E0FC6">
        <w:t>td (Novozymes)</w:t>
      </w:r>
      <w:r w:rsidR="66F2FD2D">
        <w:t xml:space="preserve"> </w:t>
      </w:r>
      <w:r w:rsidR="292E0FC6">
        <w:t>submitted an application</w:t>
      </w:r>
      <w:r w:rsidR="66F2FD2D">
        <w:t xml:space="preserve"> to </w:t>
      </w:r>
      <w:r w:rsidR="292E0FC6">
        <w:t>permit the use of</w:t>
      </w:r>
      <w:r w:rsidR="58568BB0">
        <w:t xml:space="preserve"> </w:t>
      </w:r>
      <w:r w:rsidR="6D395937">
        <w:t xml:space="preserve">a protein engineered variant of </w:t>
      </w:r>
      <w:r w:rsidR="1915B719">
        <w:t>glucoamylase</w:t>
      </w:r>
      <w:r w:rsidR="2B78449F">
        <w:t xml:space="preserve"> (EC 3.2.1.3</w:t>
      </w:r>
      <w:r>
        <w:t xml:space="preserve">) </w:t>
      </w:r>
      <w:r w:rsidR="292E0FC6">
        <w:t xml:space="preserve">from genetically modified (GM) </w:t>
      </w:r>
      <w:r w:rsidR="292E0FC6" w:rsidRPr="3F6E6AE9">
        <w:rPr>
          <w:i/>
          <w:iCs/>
        </w:rPr>
        <w:t>Aspergillus niger (A. niger)</w:t>
      </w:r>
      <w:r w:rsidR="292E0FC6">
        <w:t xml:space="preserve">, containing the glucoamylase gene from </w:t>
      </w:r>
      <w:r w:rsidR="292E0FC6" w:rsidRPr="3F6E6AE9">
        <w:rPr>
          <w:i/>
          <w:iCs/>
        </w:rPr>
        <w:t>Penicillium oxalicum (P. oxalicum).</w:t>
      </w:r>
      <w:r w:rsidR="292E0FC6">
        <w:t xml:space="preserve"> The glucoamylase is proposed for use </w:t>
      </w:r>
      <w:r w:rsidR="58568BB0">
        <w:t xml:space="preserve">as a processing aid in baking processes, brewing processes and </w:t>
      </w:r>
      <w:r w:rsidR="579DAAC7">
        <w:t xml:space="preserve">starch processing for the production of starch hydrolysates, including glucose syrups, </w:t>
      </w:r>
      <w:r w:rsidR="58568BB0">
        <w:t>in accordance with</w:t>
      </w:r>
      <w:r w:rsidR="58568BB0" w:rsidRPr="3F6E6AE9">
        <w:rPr>
          <w:lang w:val="en-AU"/>
        </w:rPr>
        <w:t xml:space="preserve"> Good Manufacturing Practice (GMP) conditions. </w:t>
      </w:r>
    </w:p>
    <w:p w14:paraId="08A1C010" w14:textId="46E21BB6" w:rsidR="00D74310" w:rsidRDefault="125FBAD1" w:rsidP="3F6E6AE9">
      <w:pPr>
        <w:spacing w:after="240"/>
      </w:pPr>
      <w:r>
        <w:t>FSANZ has undertaken an assessment and</w:t>
      </w:r>
      <w:r w:rsidR="439B165D">
        <w:t xml:space="preserve"> concludes that the proposed use of glucoamylase as a processing aid in baking processes, brewing processes and </w:t>
      </w:r>
      <w:r w:rsidR="45676876">
        <w:t xml:space="preserve">starch processing for the production of starch hydrolysates, including glucose syrups </w:t>
      </w:r>
      <w:r w:rsidR="439B165D">
        <w:t>is consistent with its known technological function of hydrolysi</w:t>
      </w:r>
      <w:r w:rsidR="7F363AF1">
        <w:t>ng</w:t>
      </w:r>
      <w:r w:rsidR="439B165D">
        <w:t xml:space="preserve"> </w:t>
      </w:r>
      <w:r w:rsidR="378B4E9F">
        <w:t xml:space="preserve">carbohydrates, </w:t>
      </w:r>
      <w:r w:rsidR="439B165D">
        <w:t xml:space="preserve">with </w:t>
      </w:r>
      <w:r>
        <w:t>the</w:t>
      </w:r>
      <w:r w:rsidR="439B165D">
        <w:t xml:space="preserve"> release of glucose. Analysis of the evidence provides adequate assurance that the use of this enzyme, in the quantity and form proposed to be used</w:t>
      </w:r>
      <w:r w:rsidR="4BBE2D3E">
        <w:t xml:space="preserve"> </w:t>
      </w:r>
      <w:r w:rsidR="7ED6ABE3" w:rsidRPr="3EBADA22">
        <w:rPr>
          <w:lang w:bidi="ar-SA"/>
        </w:rPr>
        <w:t xml:space="preserve">at levels consistent with </w:t>
      </w:r>
      <w:r w:rsidR="439B165D">
        <w:t>GMP, is technologically justified. The enzyme meets international purity specifications.</w:t>
      </w:r>
    </w:p>
    <w:p w14:paraId="3F32B069" w14:textId="4B513CE0" w:rsidR="00377E41" w:rsidRDefault="00107DC2" w:rsidP="00B64595">
      <w:pPr>
        <w:spacing w:after="240"/>
      </w:pPr>
      <w:r w:rsidRPr="00107DC2">
        <w:t xml:space="preserve">No public health and safety concerns were identified in the assessment of glucoamylase from GM </w:t>
      </w:r>
      <w:r w:rsidRPr="00107DC2">
        <w:rPr>
          <w:i/>
        </w:rPr>
        <w:t>A</w:t>
      </w:r>
      <w:r w:rsidRPr="00107DC2">
        <w:t xml:space="preserve">. </w:t>
      </w:r>
      <w:r w:rsidRPr="00107DC2">
        <w:rPr>
          <w:i/>
        </w:rPr>
        <w:t>niger</w:t>
      </w:r>
      <w:r w:rsidRPr="00107DC2">
        <w:t xml:space="preserve"> under the proposed use conditions. The </w:t>
      </w:r>
      <w:r w:rsidRPr="00107DC2">
        <w:rPr>
          <w:i/>
        </w:rPr>
        <w:t>A</w:t>
      </w:r>
      <w:r w:rsidRPr="00107DC2">
        <w:t xml:space="preserve">. </w:t>
      </w:r>
      <w:r w:rsidRPr="00107DC2">
        <w:rPr>
          <w:i/>
        </w:rPr>
        <w:t>niger</w:t>
      </w:r>
      <w:r w:rsidRPr="00107DC2">
        <w:t xml:space="preserve"> host is neither</w:t>
      </w:r>
      <w:r>
        <w:t xml:space="preserve"> pathogenic nor toxigenic. A</w:t>
      </w:r>
      <w:r w:rsidRPr="00107DC2">
        <w:t>nalysis of the modified production strain confirmed the presence and stability of the inserted DNA.</w:t>
      </w:r>
    </w:p>
    <w:p w14:paraId="38D35891" w14:textId="7630C6DE" w:rsidR="006229F7" w:rsidRDefault="00377E41" w:rsidP="00B64595">
      <w:pPr>
        <w:spacing w:after="240"/>
      </w:pPr>
      <w:r>
        <w:t>Glucoamylase performs its technological purpose during the production of food and is not performing a technological purpose in the final food. It is therefore appropriately categorised as a processing aid as defined in the Code.</w:t>
      </w:r>
    </w:p>
    <w:p w14:paraId="66F7F787" w14:textId="3F15373D" w:rsidR="006F58E8" w:rsidRDefault="00796DE1" w:rsidP="00B64595">
      <w:pPr>
        <w:spacing w:after="240"/>
      </w:pPr>
      <w:r>
        <w:t>Glucoamylase</w:t>
      </w:r>
      <w:r w:rsidR="0009675B">
        <w:t xml:space="preserve"> does not show any appreciable sequence homology with known toxins.</w:t>
      </w:r>
      <w:r>
        <w:t xml:space="preserve"> The enzyme was not genotoxic </w:t>
      </w:r>
      <w:r w:rsidRPr="0009675B">
        <w:rPr>
          <w:i/>
        </w:rPr>
        <w:t>in vitro</w:t>
      </w:r>
      <w:r>
        <w:t>, and no</w:t>
      </w:r>
      <w:r w:rsidR="0009675B">
        <w:t xml:space="preserve"> treatment-related adverse effects were </w:t>
      </w:r>
      <w:r w:rsidR="006F58E8">
        <w:t>observed in a 13-week</w:t>
      </w:r>
      <w:r w:rsidR="0009675B">
        <w:t xml:space="preserve"> oral toxicity study in rats. </w:t>
      </w:r>
      <w:r>
        <w:t>T</w:t>
      </w:r>
      <w:r w:rsidR="0009675B">
        <w:t xml:space="preserve">he no observed adverse effect level (NOAEL) was the highest dose tested, 1360 mg total organic solids (TOS)/kg </w:t>
      </w:r>
      <w:proofErr w:type="spellStart"/>
      <w:r w:rsidR="0009675B">
        <w:t>bw</w:t>
      </w:r>
      <w:proofErr w:type="spellEnd"/>
      <w:r w:rsidR="0009675B">
        <w:t xml:space="preserve">/day. </w:t>
      </w:r>
      <w:r w:rsidR="006F58E8" w:rsidRPr="006F58E8">
        <w:t xml:space="preserve">No significant homology to known food allergens was identified. Some homology to a respiratory allergen from </w:t>
      </w:r>
      <w:r w:rsidR="006F58E8" w:rsidRPr="006F58E8">
        <w:rPr>
          <w:i/>
        </w:rPr>
        <w:t>S. commune</w:t>
      </w:r>
      <w:r w:rsidR="006F58E8" w:rsidRPr="006F58E8">
        <w:t xml:space="preserve"> (</w:t>
      </w:r>
      <w:proofErr w:type="spellStart"/>
      <w:r w:rsidR="006F58E8" w:rsidRPr="006F58E8">
        <w:t>splitgill</w:t>
      </w:r>
      <w:proofErr w:type="spellEnd"/>
      <w:r w:rsidR="006F58E8" w:rsidRPr="006F58E8">
        <w:t xml:space="preserve"> mushroom) was identified, however respiratory allergens are not usually food allergens and </w:t>
      </w:r>
      <w:r w:rsidR="006F58E8" w:rsidRPr="006F58E8">
        <w:rPr>
          <w:i/>
        </w:rPr>
        <w:t>S. commune</w:t>
      </w:r>
      <w:r w:rsidR="006F58E8" w:rsidRPr="006F58E8">
        <w:t xml:space="preserve"> is consumed as a food overseas without reports of food allergy. Based on the available evidence the enzyme is unlikely to pose a food allergenicity concern.</w:t>
      </w:r>
    </w:p>
    <w:p w14:paraId="70268C18" w14:textId="40DB9D51" w:rsidR="0009675B" w:rsidRDefault="00187C2B" w:rsidP="00B64595">
      <w:pPr>
        <w:spacing w:after="240"/>
      </w:pPr>
      <w:r w:rsidRPr="00187C2B">
        <w:t xml:space="preserve">The theoretical maximum daily intake </w:t>
      </w:r>
      <w:r>
        <w:t>(</w:t>
      </w:r>
      <w:r w:rsidRPr="00187C2B">
        <w:t>TMDI</w:t>
      </w:r>
      <w:r>
        <w:t>)</w:t>
      </w:r>
      <w:r w:rsidRPr="00187C2B">
        <w:t xml:space="preserve"> </w:t>
      </w:r>
      <w:r>
        <w:t xml:space="preserve">for solid food and non-milk beverages </w:t>
      </w:r>
      <w:r w:rsidRPr="00187C2B">
        <w:t xml:space="preserve">was calculated as 8.97 mg TOS/kg </w:t>
      </w:r>
      <w:proofErr w:type="spellStart"/>
      <w:r w:rsidRPr="00187C2B">
        <w:t>bw</w:t>
      </w:r>
      <w:proofErr w:type="spellEnd"/>
      <w:r w:rsidRPr="00187C2B">
        <w:t xml:space="preserve">/day. Comparison of the NOAEL and the </w:t>
      </w:r>
      <w:r>
        <w:t>TMDI results in a margin of e</w:t>
      </w:r>
      <w:r w:rsidRPr="00187C2B">
        <w:t>xposure (MOE) of around 150.</w:t>
      </w:r>
    </w:p>
    <w:p w14:paraId="359CA986" w14:textId="1C2FE2E0" w:rsidR="00187C2B" w:rsidRDefault="00187C2B" w:rsidP="0009675B">
      <w:r w:rsidRPr="00187C2B">
        <w:lastRenderedPageBreak/>
        <w:t xml:space="preserve">In the absence of any identifiable hazard an acceptable daily intake (ADI) ‘not specified’ is </w:t>
      </w:r>
      <w:r>
        <w:t xml:space="preserve">appropriate for glucoamylase from </w:t>
      </w:r>
      <w:r w:rsidRPr="00187C2B">
        <w:rPr>
          <w:i/>
        </w:rPr>
        <w:t xml:space="preserve">P. </w:t>
      </w:r>
      <w:proofErr w:type="spellStart"/>
      <w:r w:rsidRPr="00187C2B">
        <w:rPr>
          <w:i/>
        </w:rPr>
        <w:t>oxlicum</w:t>
      </w:r>
      <w:proofErr w:type="spellEnd"/>
      <w:r w:rsidRPr="00187C2B">
        <w:t xml:space="preserve">, expressed in GM </w:t>
      </w:r>
      <w:r w:rsidRPr="00187C2B">
        <w:rPr>
          <w:i/>
        </w:rPr>
        <w:t>A. niger</w:t>
      </w:r>
      <w:r w:rsidRPr="00187C2B">
        <w:t>.</w:t>
      </w:r>
    </w:p>
    <w:p w14:paraId="16E8E00E" w14:textId="77777777" w:rsidR="006229F7" w:rsidRDefault="006229F7" w:rsidP="00AD697D">
      <w:pPr>
        <w:sectPr w:rsidR="006229F7" w:rsidSect="004B266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851" w:left="1418" w:header="709" w:footer="454" w:gutter="0"/>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10444FC" w14:textId="3DD886D1" w:rsidR="00A24B6D"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09984704" w:history="1">
        <w:r w:rsidR="00A24B6D" w:rsidRPr="00920FCE">
          <w:rPr>
            <w:rStyle w:val="Hyperlink"/>
            <w:noProof/>
          </w:rPr>
          <w:t>Executive summary</w:t>
        </w:r>
        <w:r w:rsidR="00A24B6D">
          <w:rPr>
            <w:noProof/>
            <w:webHidden/>
          </w:rPr>
          <w:tab/>
        </w:r>
        <w:r w:rsidR="00A24B6D">
          <w:rPr>
            <w:noProof/>
            <w:webHidden/>
          </w:rPr>
          <w:fldChar w:fldCharType="begin"/>
        </w:r>
        <w:r w:rsidR="00A24B6D">
          <w:rPr>
            <w:noProof/>
            <w:webHidden/>
          </w:rPr>
          <w:instrText xml:space="preserve"> PAGEREF _Toc109984704 \h </w:instrText>
        </w:r>
        <w:r w:rsidR="00A24B6D">
          <w:rPr>
            <w:noProof/>
            <w:webHidden/>
          </w:rPr>
        </w:r>
        <w:r w:rsidR="00A24B6D">
          <w:rPr>
            <w:noProof/>
            <w:webHidden/>
          </w:rPr>
          <w:fldChar w:fldCharType="separate"/>
        </w:r>
        <w:r w:rsidR="00B415FD">
          <w:rPr>
            <w:noProof/>
            <w:webHidden/>
          </w:rPr>
          <w:t>1</w:t>
        </w:r>
        <w:r w:rsidR="00A24B6D">
          <w:rPr>
            <w:noProof/>
            <w:webHidden/>
          </w:rPr>
          <w:fldChar w:fldCharType="end"/>
        </w:r>
      </w:hyperlink>
    </w:p>
    <w:p w14:paraId="7BD75C9F" w14:textId="34075D51" w:rsidR="00A24B6D" w:rsidRDefault="005C46D3">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9984705" w:history="1">
        <w:r w:rsidR="00A24B6D" w:rsidRPr="00920FCE">
          <w:rPr>
            <w:rStyle w:val="Hyperlink"/>
            <w:noProof/>
          </w:rPr>
          <w:t xml:space="preserve">1 </w:t>
        </w:r>
        <w:r w:rsidR="00A24B6D">
          <w:rPr>
            <w:rFonts w:eastAsiaTheme="minorEastAsia" w:cstheme="minorBidi"/>
            <w:b w:val="0"/>
            <w:bCs w:val="0"/>
            <w:caps w:val="0"/>
            <w:noProof/>
            <w:sz w:val="22"/>
            <w:szCs w:val="22"/>
            <w:lang w:eastAsia="en-GB" w:bidi="ar-SA"/>
          </w:rPr>
          <w:tab/>
        </w:r>
        <w:r w:rsidR="00A24B6D" w:rsidRPr="00920FCE">
          <w:rPr>
            <w:rStyle w:val="Hyperlink"/>
            <w:noProof/>
          </w:rPr>
          <w:t>Introduction</w:t>
        </w:r>
        <w:r w:rsidR="00A24B6D">
          <w:rPr>
            <w:noProof/>
            <w:webHidden/>
          </w:rPr>
          <w:tab/>
        </w:r>
        <w:r w:rsidR="00A24B6D">
          <w:rPr>
            <w:noProof/>
            <w:webHidden/>
          </w:rPr>
          <w:fldChar w:fldCharType="begin"/>
        </w:r>
        <w:r w:rsidR="00A24B6D">
          <w:rPr>
            <w:noProof/>
            <w:webHidden/>
          </w:rPr>
          <w:instrText xml:space="preserve"> PAGEREF _Toc109984705 \h </w:instrText>
        </w:r>
        <w:r w:rsidR="00A24B6D">
          <w:rPr>
            <w:noProof/>
            <w:webHidden/>
          </w:rPr>
        </w:r>
        <w:r w:rsidR="00A24B6D">
          <w:rPr>
            <w:noProof/>
            <w:webHidden/>
          </w:rPr>
          <w:fldChar w:fldCharType="separate"/>
        </w:r>
        <w:r w:rsidR="00B415FD">
          <w:rPr>
            <w:noProof/>
            <w:webHidden/>
          </w:rPr>
          <w:t>4</w:t>
        </w:r>
        <w:r w:rsidR="00A24B6D">
          <w:rPr>
            <w:noProof/>
            <w:webHidden/>
          </w:rPr>
          <w:fldChar w:fldCharType="end"/>
        </w:r>
      </w:hyperlink>
    </w:p>
    <w:p w14:paraId="1009413E" w14:textId="51897A25" w:rsidR="00A24B6D" w:rsidRDefault="005C46D3" w:rsidP="00CA2FED">
      <w:pPr>
        <w:pStyle w:val="TOC2"/>
        <w:rPr>
          <w:rFonts w:eastAsiaTheme="minorEastAsia" w:cstheme="minorBidi"/>
          <w:noProof/>
          <w:sz w:val="22"/>
          <w:szCs w:val="22"/>
          <w:lang w:eastAsia="en-GB" w:bidi="ar-SA"/>
        </w:rPr>
      </w:pPr>
      <w:hyperlink w:anchor="_Toc109984706" w:history="1">
        <w:r w:rsidR="00A24B6D" w:rsidRPr="00920FCE">
          <w:rPr>
            <w:rStyle w:val="Hyperlink"/>
            <w:noProof/>
          </w:rPr>
          <w:t>1.1</w:t>
        </w:r>
        <w:r w:rsidR="00A24B6D">
          <w:rPr>
            <w:rFonts w:eastAsiaTheme="minorEastAsia" w:cstheme="minorBidi"/>
            <w:noProof/>
            <w:sz w:val="22"/>
            <w:szCs w:val="22"/>
            <w:lang w:eastAsia="en-GB" w:bidi="ar-SA"/>
          </w:rPr>
          <w:tab/>
        </w:r>
        <w:r w:rsidR="00A24B6D" w:rsidRPr="00920FCE">
          <w:rPr>
            <w:rStyle w:val="Hyperlink"/>
            <w:noProof/>
          </w:rPr>
          <w:t>Objectives of the assessment</w:t>
        </w:r>
        <w:r w:rsidR="00A24B6D">
          <w:rPr>
            <w:noProof/>
            <w:webHidden/>
          </w:rPr>
          <w:tab/>
        </w:r>
        <w:r w:rsidR="00A24B6D">
          <w:rPr>
            <w:noProof/>
            <w:webHidden/>
          </w:rPr>
          <w:fldChar w:fldCharType="begin"/>
        </w:r>
        <w:r w:rsidR="00A24B6D">
          <w:rPr>
            <w:noProof/>
            <w:webHidden/>
          </w:rPr>
          <w:instrText xml:space="preserve"> PAGEREF _Toc109984706 \h </w:instrText>
        </w:r>
        <w:r w:rsidR="00A24B6D">
          <w:rPr>
            <w:noProof/>
            <w:webHidden/>
          </w:rPr>
        </w:r>
        <w:r w:rsidR="00A24B6D">
          <w:rPr>
            <w:noProof/>
            <w:webHidden/>
          </w:rPr>
          <w:fldChar w:fldCharType="separate"/>
        </w:r>
        <w:r w:rsidR="00B415FD">
          <w:rPr>
            <w:noProof/>
            <w:webHidden/>
          </w:rPr>
          <w:t>4</w:t>
        </w:r>
        <w:r w:rsidR="00A24B6D">
          <w:rPr>
            <w:noProof/>
            <w:webHidden/>
          </w:rPr>
          <w:fldChar w:fldCharType="end"/>
        </w:r>
      </w:hyperlink>
    </w:p>
    <w:p w14:paraId="4E189634" w14:textId="39B8096F" w:rsidR="00A24B6D" w:rsidRDefault="005C46D3">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9984707" w:history="1">
        <w:r w:rsidR="00A24B6D" w:rsidRPr="00920FCE">
          <w:rPr>
            <w:rStyle w:val="Hyperlink"/>
            <w:noProof/>
          </w:rPr>
          <w:t xml:space="preserve">2 </w:t>
        </w:r>
        <w:r w:rsidR="00A24B6D">
          <w:rPr>
            <w:rFonts w:eastAsiaTheme="minorEastAsia" w:cstheme="minorBidi"/>
            <w:b w:val="0"/>
            <w:bCs w:val="0"/>
            <w:caps w:val="0"/>
            <w:noProof/>
            <w:sz w:val="22"/>
            <w:szCs w:val="22"/>
            <w:lang w:eastAsia="en-GB" w:bidi="ar-SA"/>
          </w:rPr>
          <w:tab/>
        </w:r>
        <w:r w:rsidR="00A24B6D" w:rsidRPr="00920FCE">
          <w:rPr>
            <w:rStyle w:val="Hyperlink"/>
            <w:noProof/>
          </w:rPr>
          <w:t>Food technology assessment</w:t>
        </w:r>
        <w:r w:rsidR="00A24B6D">
          <w:rPr>
            <w:noProof/>
            <w:webHidden/>
          </w:rPr>
          <w:tab/>
        </w:r>
        <w:r w:rsidR="00A24B6D">
          <w:rPr>
            <w:noProof/>
            <w:webHidden/>
          </w:rPr>
          <w:fldChar w:fldCharType="begin"/>
        </w:r>
        <w:r w:rsidR="00A24B6D">
          <w:rPr>
            <w:noProof/>
            <w:webHidden/>
          </w:rPr>
          <w:instrText xml:space="preserve"> PAGEREF _Toc109984707 \h </w:instrText>
        </w:r>
        <w:r w:rsidR="00A24B6D">
          <w:rPr>
            <w:noProof/>
            <w:webHidden/>
          </w:rPr>
        </w:r>
        <w:r w:rsidR="00A24B6D">
          <w:rPr>
            <w:noProof/>
            <w:webHidden/>
          </w:rPr>
          <w:fldChar w:fldCharType="separate"/>
        </w:r>
        <w:r w:rsidR="00B415FD">
          <w:rPr>
            <w:noProof/>
            <w:webHidden/>
          </w:rPr>
          <w:t>4</w:t>
        </w:r>
        <w:r w:rsidR="00A24B6D">
          <w:rPr>
            <w:noProof/>
            <w:webHidden/>
          </w:rPr>
          <w:fldChar w:fldCharType="end"/>
        </w:r>
      </w:hyperlink>
    </w:p>
    <w:p w14:paraId="204728F3" w14:textId="3DF6072E" w:rsidR="00A24B6D" w:rsidRDefault="005C46D3" w:rsidP="00CA2FED">
      <w:pPr>
        <w:pStyle w:val="TOC2"/>
        <w:rPr>
          <w:rFonts w:eastAsiaTheme="minorEastAsia" w:cstheme="minorBidi"/>
          <w:noProof/>
          <w:sz w:val="22"/>
          <w:szCs w:val="22"/>
          <w:lang w:eastAsia="en-GB" w:bidi="ar-SA"/>
        </w:rPr>
      </w:pPr>
      <w:hyperlink w:anchor="_Toc109984708" w:history="1">
        <w:r w:rsidR="00A24B6D" w:rsidRPr="00920FCE">
          <w:rPr>
            <w:rStyle w:val="Hyperlink"/>
            <w:noProof/>
          </w:rPr>
          <w:t>2.1</w:t>
        </w:r>
        <w:r w:rsidR="00A24B6D">
          <w:rPr>
            <w:rFonts w:eastAsiaTheme="minorEastAsia" w:cstheme="minorBidi"/>
            <w:noProof/>
            <w:sz w:val="22"/>
            <w:szCs w:val="22"/>
            <w:lang w:eastAsia="en-GB" w:bidi="ar-SA"/>
          </w:rPr>
          <w:tab/>
        </w:r>
        <w:r w:rsidR="00A24B6D" w:rsidRPr="00920FCE">
          <w:rPr>
            <w:rStyle w:val="Hyperlink"/>
            <w:noProof/>
          </w:rPr>
          <w:t>Characterisation of the enzyme</w:t>
        </w:r>
        <w:r w:rsidR="00A24B6D">
          <w:rPr>
            <w:noProof/>
            <w:webHidden/>
          </w:rPr>
          <w:tab/>
        </w:r>
        <w:r w:rsidR="00A24B6D">
          <w:rPr>
            <w:noProof/>
            <w:webHidden/>
          </w:rPr>
          <w:fldChar w:fldCharType="begin"/>
        </w:r>
        <w:r w:rsidR="00A24B6D">
          <w:rPr>
            <w:noProof/>
            <w:webHidden/>
          </w:rPr>
          <w:instrText xml:space="preserve"> PAGEREF _Toc109984708 \h </w:instrText>
        </w:r>
        <w:r w:rsidR="00A24B6D">
          <w:rPr>
            <w:noProof/>
            <w:webHidden/>
          </w:rPr>
        </w:r>
        <w:r w:rsidR="00A24B6D">
          <w:rPr>
            <w:noProof/>
            <w:webHidden/>
          </w:rPr>
          <w:fldChar w:fldCharType="separate"/>
        </w:r>
        <w:r w:rsidR="00B415FD">
          <w:rPr>
            <w:noProof/>
            <w:webHidden/>
          </w:rPr>
          <w:t>4</w:t>
        </w:r>
        <w:r w:rsidR="00A24B6D">
          <w:rPr>
            <w:noProof/>
            <w:webHidden/>
          </w:rPr>
          <w:fldChar w:fldCharType="end"/>
        </w:r>
      </w:hyperlink>
    </w:p>
    <w:p w14:paraId="64FAC6DF" w14:textId="5E773ED2"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09" w:history="1">
        <w:r w:rsidR="00A24B6D" w:rsidRPr="00920FCE">
          <w:rPr>
            <w:rStyle w:val="Hyperlink"/>
            <w:noProof/>
          </w:rPr>
          <w:t>2.1.1</w:t>
        </w:r>
        <w:r w:rsidR="00A24B6D">
          <w:rPr>
            <w:rFonts w:eastAsiaTheme="minorEastAsia" w:cstheme="minorBidi"/>
            <w:i w:val="0"/>
            <w:iCs w:val="0"/>
            <w:noProof/>
            <w:sz w:val="22"/>
            <w:szCs w:val="22"/>
            <w:lang w:eastAsia="en-GB" w:bidi="ar-SA"/>
          </w:rPr>
          <w:tab/>
        </w:r>
        <w:r w:rsidR="00A24B6D" w:rsidRPr="00920FCE">
          <w:rPr>
            <w:rStyle w:val="Hyperlink"/>
            <w:noProof/>
          </w:rPr>
          <w:t>Identity and properties of the enzyme</w:t>
        </w:r>
        <w:r w:rsidR="00A24B6D">
          <w:rPr>
            <w:noProof/>
            <w:webHidden/>
          </w:rPr>
          <w:tab/>
        </w:r>
        <w:r w:rsidR="00A24B6D">
          <w:rPr>
            <w:noProof/>
            <w:webHidden/>
          </w:rPr>
          <w:fldChar w:fldCharType="begin"/>
        </w:r>
        <w:r w:rsidR="00A24B6D">
          <w:rPr>
            <w:noProof/>
            <w:webHidden/>
          </w:rPr>
          <w:instrText xml:space="preserve"> PAGEREF _Toc109984709 \h </w:instrText>
        </w:r>
        <w:r w:rsidR="00A24B6D">
          <w:rPr>
            <w:noProof/>
            <w:webHidden/>
          </w:rPr>
        </w:r>
        <w:r w:rsidR="00A24B6D">
          <w:rPr>
            <w:noProof/>
            <w:webHidden/>
          </w:rPr>
          <w:fldChar w:fldCharType="separate"/>
        </w:r>
        <w:r w:rsidR="00B415FD">
          <w:rPr>
            <w:noProof/>
            <w:webHidden/>
          </w:rPr>
          <w:t>4</w:t>
        </w:r>
        <w:r w:rsidR="00A24B6D">
          <w:rPr>
            <w:noProof/>
            <w:webHidden/>
          </w:rPr>
          <w:fldChar w:fldCharType="end"/>
        </w:r>
      </w:hyperlink>
    </w:p>
    <w:p w14:paraId="03AC35A1" w14:textId="06978653" w:rsidR="00A24B6D" w:rsidRDefault="005C46D3" w:rsidP="00CA2FED">
      <w:pPr>
        <w:pStyle w:val="TOC2"/>
        <w:rPr>
          <w:rFonts w:eastAsiaTheme="minorEastAsia" w:cstheme="minorBidi"/>
          <w:noProof/>
          <w:sz w:val="22"/>
          <w:szCs w:val="22"/>
          <w:lang w:eastAsia="en-GB" w:bidi="ar-SA"/>
        </w:rPr>
      </w:pPr>
      <w:hyperlink w:anchor="_Toc109984710" w:history="1">
        <w:r w:rsidR="00A24B6D" w:rsidRPr="00920FCE">
          <w:rPr>
            <w:rStyle w:val="Hyperlink"/>
            <w:noProof/>
          </w:rPr>
          <w:t>2.2</w:t>
        </w:r>
        <w:r w:rsidR="00A24B6D">
          <w:rPr>
            <w:rFonts w:eastAsiaTheme="minorEastAsia" w:cstheme="minorBidi"/>
            <w:noProof/>
            <w:sz w:val="22"/>
            <w:szCs w:val="22"/>
            <w:lang w:eastAsia="en-GB" w:bidi="ar-SA"/>
          </w:rPr>
          <w:tab/>
        </w:r>
        <w:r w:rsidR="00A24B6D" w:rsidRPr="00920FCE">
          <w:rPr>
            <w:rStyle w:val="Hyperlink"/>
            <w:noProof/>
          </w:rPr>
          <w:t>Manufacturing process</w:t>
        </w:r>
        <w:r w:rsidR="00A24B6D">
          <w:rPr>
            <w:noProof/>
            <w:webHidden/>
          </w:rPr>
          <w:tab/>
        </w:r>
        <w:r w:rsidR="00A24B6D">
          <w:rPr>
            <w:noProof/>
            <w:webHidden/>
          </w:rPr>
          <w:fldChar w:fldCharType="begin"/>
        </w:r>
        <w:r w:rsidR="00A24B6D">
          <w:rPr>
            <w:noProof/>
            <w:webHidden/>
          </w:rPr>
          <w:instrText xml:space="preserve"> PAGEREF _Toc109984710 \h </w:instrText>
        </w:r>
        <w:r w:rsidR="00A24B6D">
          <w:rPr>
            <w:noProof/>
            <w:webHidden/>
          </w:rPr>
        </w:r>
        <w:r w:rsidR="00A24B6D">
          <w:rPr>
            <w:noProof/>
            <w:webHidden/>
          </w:rPr>
          <w:fldChar w:fldCharType="separate"/>
        </w:r>
        <w:r w:rsidR="00B415FD">
          <w:rPr>
            <w:noProof/>
            <w:webHidden/>
          </w:rPr>
          <w:t>5</w:t>
        </w:r>
        <w:r w:rsidR="00A24B6D">
          <w:rPr>
            <w:noProof/>
            <w:webHidden/>
          </w:rPr>
          <w:fldChar w:fldCharType="end"/>
        </w:r>
      </w:hyperlink>
    </w:p>
    <w:p w14:paraId="00920216" w14:textId="34E2EDB4"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11" w:history="1">
        <w:r w:rsidR="00A24B6D" w:rsidRPr="00920FCE">
          <w:rPr>
            <w:rStyle w:val="Hyperlink"/>
            <w:noProof/>
          </w:rPr>
          <w:t>2.2.1</w:t>
        </w:r>
        <w:r w:rsidR="00A24B6D">
          <w:rPr>
            <w:rFonts w:eastAsiaTheme="minorEastAsia" w:cstheme="minorBidi"/>
            <w:i w:val="0"/>
            <w:iCs w:val="0"/>
            <w:noProof/>
            <w:sz w:val="22"/>
            <w:szCs w:val="22"/>
            <w:lang w:eastAsia="en-GB" w:bidi="ar-SA"/>
          </w:rPr>
          <w:tab/>
        </w:r>
        <w:r w:rsidR="00A24B6D" w:rsidRPr="00920FCE">
          <w:rPr>
            <w:rStyle w:val="Hyperlink"/>
            <w:noProof/>
          </w:rPr>
          <w:t>Production of the enzyme</w:t>
        </w:r>
        <w:r w:rsidR="00A24B6D">
          <w:rPr>
            <w:noProof/>
            <w:webHidden/>
          </w:rPr>
          <w:tab/>
        </w:r>
        <w:r w:rsidR="00A24B6D">
          <w:rPr>
            <w:noProof/>
            <w:webHidden/>
          </w:rPr>
          <w:fldChar w:fldCharType="begin"/>
        </w:r>
        <w:r w:rsidR="00A24B6D">
          <w:rPr>
            <w:noProof/>
            <w:webHidden/>
          </w:rPr>
          <w:instrText xml:space="preserve"> PAGEREF _Toc109984711 \h </w:instrText>
        </w:r>
        <w:r w:rsidR="00A24B6D">
          <w:rPr>
            <w:noProof/>
            <w:webHidden/>
          </w:rPr>
        </w:r>
        <w:r w:rsidR="00A24B6D">
          <w:rPr>
            <w:noProof/>
            <w:webHidden/>
          </w:rPr>
          <w:fldChar w:fldCharType="separate"/>
        </w:r>
        <w:r w:rsidR="00B415FD">
          <w:rPr>
            <w:noProof/>
            <w:webHidden/>
          </w:rPr>
          <w:t>5</w:t>
        </w:r>
        <w:r w:rsidR="00A24B6D">
          <w:rPr>
            <w:noProof/>
            <w:webHidden/>
          </w:rPr>
          <w:fldChar w:fldCharType="end"/>
        </w:r>
      </w:hyperlink>
    </w:p>
    <w:p w14:paraId="7C66B9FD" w14:textId="411346FD"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12" w:history="1">
        <w:r w:rsidR="00A24B6D" w:rsidRPr="00920FCE">
          <w:rPr>
            <w:rStyle w:val="Hyperlink"/>
            <w:noProof/>
          </w:rPr>
          <w:t>2.2.2</w:t>
        </w:r>
        <w:r w:rsidR="00A24B6D">
          <w:rPr>
            <w:rFonts w:eastAsiaTheme="minorEastAsia" w:cstheme="minorBidi"/>
            <w:i w:val="0"/>
            <w:iCs w:val="0"/>
            <w:noProof/>
            <w:sz w:val="22"/>
            <w:szCs w:val="22"/>
            <w:lang w:eastAsia="en-GB" w:bidi="ar-SA"/>
          </w:rPr>
          <w:tab/>
        </w:r>
        <w:r w:rsidR="00A24B6D" w:rsidRPr="00920FCE">
          <w:rPr>
            <w:rStyle w:val="Hyperlink"/>
            <w:noProof/>
          </w:rPr>
          <w:t>Specifications</w:t>
        </w:r>
        <w:r w:rsidR="00A24B6D">
          <w:rPr>
            <w:noProof/>
            <w:webHidden/>
          </w:rPr>
          <w:tab/>
        </w:r>
        <w:r w:rsidR="00A24B6D">
          <w:rPr>
            <w:noProof/>
            <w:webHidden/>
          </w:rPr>
          <w:fldChar w:fldCharType="begin"/>
        </w:r>
        <w:r w:rsidR="00A24B6D">
          <w:rPr>
            <w:noProof/>
            <w:webHidden/>
          </w:rPr>
          <w:instrText xml:space="preserve"> PAGEREF _Toc109984712 \h </w:instrText>
        </w:r>
        <w:r w:rsidR="00A24B6D">
          <w:rPr>
            <w:noProof/>
            <w:webHidden/>
          </w:rPr>
        </w:r>
        <w:r w:rsidR="00A24B6D">
          <w:rPr>
            <w:noProof/>
            <w:webHidden/>
          </w:rPr>
          <w:fldChar w:fldCharType="separate"/>
        </w:r>
        <w:r w:rsidR="00B415FD">
          <w:rPr>
            <w:noProof/>
            <w:webHidden/>
          </w:rPr>
          <w:t>6</w:t>
        </w:r>
        <w:r w:rsidR="00A24B6D">
          <w:rPr>
            <w:noProof/>
            <w:webHidden/>
          </w:rPr>
          <w:fldChar w:fldCharType="end"/>
        </w:r>
      </w:hyperlink>
    </w:p>
    <w:p w14:paraId="0BFA215D" w14:textId="131FE718" w:rsidR="00A24B6D" w:rsidRDefault="005C46D3" w:rsidP="00CA2FED">
      <w:pPr>
        <w:pStyle w:val="TOC2"/>
        <w:rPr>
          <w:rFonts w:eastAsiaTheme="minorEastAsia" w:cstheme="minorBidi"/>
          <w:noProof/>
          <w:sz w:val="22"/>
          <w:szCs w:val="22"/>
          <w:lang w:eastAsia="en-GB" w:bidi="ar-SA"/>
        </w:rPr>
      </w:pPr>
      <w:hyperlink w:anchor="_Toc109984713" w:history="1">
        <w:r w:rsidR="00A24B6D" w:rsidRPr="00920FCE">
          <w:rPr>
            <w:rStyle w:val="Hyperlink"/>
            <w:noProof/>
          </w:rPr>
          <w:t>2.3</w:t>
        </w:r>
        <w:r w:rsidR="00A24B6D">
          <w:rPr>
            <w:rFonts w:eastAsiaTheme="minorEastAsia" w:cstheme="minorBidi"/>
            <w:noProof/>
            <w:sz w:val="22"/>
            <w:szCs w:val="22"/>
            <w:lang w:eastAsia="en-GB" w:bidi="ar-SA"/>
          </w:rPr>
          <w:tab/>
        </w:r>
        <w:r w:rsidR="00A24B6D" w:rsidRPr="00920FCE">
          <w:rPr>
            <w:rStyle w:val="Hyperlink"/>
            <w:noProof/>
          </w:rPr>
          <w:t>Technological purpose of the enzyme</w:t>
        </w:r>
        <w:r w:rsidR="00A24B6D">
          <w:rPr>
            <w:noProof/>
            <w:webHidden/>
          </w:rPr>
          <w:tab/>
        </w:r>
        <w:r w:rsidR="00A24B6D">
          <w:rPr>
            <w:noProof/>
            <w:webHidden/>
          </w:rPr>
          <w:fldChar w:fldCharType="begin"/>
        </w:r>
        <w:r w:rsidR="00A24B6D">
          <w:rPr>
            <w:noProof/>
            <w:webHidden/>
          </w:rPr>
          <w:instrText xml:space="preserve"> PAGEREF _Toc109984713 \h </w:instrText>
        </w:r>
        <w:r w:rsidR="00A24B6D">
          <w:rPr>
            <w:noProof/>
            <w:webHidden/>
          </w:rPr>
        </w:r>
        <w:r w:rsidR="00A24B6D">
          <w:rPr>
            <w:noProof/>
            <w:webHidden/>
          </w:rPr>
          <w:fldChar w:fldCharType="separate"/>
        </w:r>
        <w:r w:rsidR="00B415FD">
          <w:rPr>
            <w:noProof/>
            <w:webHidden/>
          </w:rPr>
          <w:t>6</w:t>
        </w:r>
        <w:r w:rsidR="00A24B6D">
          <w:rPr>
            <w:noProof/>
            <w:webHidden/>
          </w:rPr>
          <w:fldChar w:fldCharType="end"/>
        </w:r>
      </w:hyperlink>
    </w:p>
    <w:p w14:paraId="15DEB4F2" w14:textId="6BF58321" w:rsidR="00A24B6D" w:rsidRDefault="005C46D3" w:rsidP="00CA2FED">
      <w:pPr>
        <w:pStyle w:val="TOC2"/>
        <w:rPr>
          <w:rFonts w:eastAsiaTheme="minorEastAsia" w:cstheme="minorBidi"/>
          <w:noProof/>
          <w:sz w:val="22"/>
          <w:szCs w:val="22"/>
          <w:lang w:eastAsia="en-GB" w:bidi="ar-SA"/>
        </w:rPr>
      </w:pPr>
      <w:hyperlink w:anchor="_Toc109984714" w:history="1">
        <w:r w:rsidR="00A24B6D" w:rsidRPr="00920FCE">
          <w:rPr>
            <w:rStyle w:val="Hyperlink"/>
            <w:noProof/>
          </w:rPr>
          <w:t>2.4</w:t>
        </w:r>
        <w:r w:rsidR="00A24B6D">
          <w:rPr>
            <w:rFonts w:eastAsiaTheme="minorEastAsia" w:cstheme="minorBidi"/>
            <w:noProof/>
            <w:sz w:val="22"/>
            <w:szCs w:val="22"/>
            <w:lang w:eastAsia="en-GB" w:bidi="ar-SA"/>
          </w:rPr>
          <w:tab/>
        </w:r>
        <w:r w:rsidR="00A24B6D" w:rsidRPr="00920FCE">
          <w:rPr>
            <w:rStyle w:val="Hyperlink"/>
            <w:noProof/>
          </w:rPr>
          <w:t>Technological justification of the enzyme</w:t>
        </w:r>
        <w:r w:rsidR="00A24B6D">
          <w:rPr>
            <w:noProof/>
            <w:webHidden/>
          </w:rPr>
          <w:tab/>
        </w:r>
        <w:r w:rsidR="00A24B6D">
          <w:rPr>
            <w:noProof/>
            <w:webHidden/>
          </w:rPr>
          <w:fldChar w:fldCharType="begin"/>
        </w:r>
        <w:r w:rsidR="00A24B6D">
          <w:rPr>
            <w:noProof/>
            <w:webHidden/>
          </w:rPr>
          <w:instrText xml:space="preserve"> PAGEREF _Toc109984714 \h </w:instrText>
        </w:r>
        <w:r w:rsidR="00A24B6D">
          <w:rPr>
            <w:noProof/>
            <w:webHidden/>
          </w:rPr>
        </w:r>
        <w:r w:rsidR="00A24B6D">
          <w:rPr>
            <w:noProof/>
            <w:webHidden/>
          </w:rPr>
          <w:fldChar w:fldCharType="separate"/>
        </w:r>
        <w:r w:rsidR="00B415FD">
          <w:rPr>
            <w:noProof/>
            <w:webHidden/>
          </w:rPr>
          <w:t>8</w:t>
        </w:r>
        <w:r w:rsidR="00A24B6D">
          <w:rPr>
            <w:noProof/>
            <w:webHidden/>
          </w:rPr>
          <w:fldChar w:fldCharType="end"/>
        </w:r>
      </w:hyperlink>
    </w:p>
    <w:p w14:paraId="1BD05852" w14:textId="4F1D5090" w:rsidR="00A24B6D" w:rsidRDefault="005C46D3" w:rsidP="00CA2FED">
      <w:pPr>
        <w:pStyle w:val="TOC2"/>
        <w:rPr>
          <w:rFonts w:eastAsiaTheme="minorEastAsia" w:cstheme="minorBidi"/>
          <w:noProof/>
          <w:sz w:val="22"/>
          <w:szCs w:val="22"/>
          <w:lang w:eastAsia="en-GB" w:bidi="ar-SA"/>
        </w:rPr>
      </w:pPr>
      <w:hyperlink w:anchor="_Toc109984715" w:history="1">
        <w:r w:rsidR="00A24B6D" w:rsidRPr="00920FCE">
          <w:rPr>
            <w:rStyle w:val="Hyperlink"/>
            <w:noProof/>
          </w:rPr>
          <w:t>2.5</w:t>
        </w:r>
        <w:r w:rsidR="00A24B6D">
          <w:rPr>
            <w:rFonts w:eastAsiaTheme="minorEastAsia" w:cstheme="minorBidi"/>
            <w:noProof/>
            <w:sz w:val="22"/>
            <w:szCs w:val="22"/>
            <w:lang w:eastAsia="en-GB" w:bidi="ar-SA"/>
          </w:rPr>
          <w:tab/>
        </w:r>
        <w:r w:rsidR="00A24B6D" w:rsidRPr="00920FCE">
          <w:rPr>
            <w:rStyle w:val="Hyperlink"/>
            <w:noProof/>
          </w:rPr>
          <w:t>Food technology conclusion</w:t>
        </w:r>
        <w:r w:rsidR="00A24B6D">
          <w:rPr>
            <w:noProof/>
            <w:webHidden/>
          </w:rPr>
          <w:tab/>
        </w:r>
        <w:r w:rsidR="00A24B6D">
          <w:rPr>
            <w:noProof/>
            <w:webHidden/>
          </w:rPr>
          <w:fldChar w:fldCharType="begin"/>
        </w:r>
        <w:r w:rsidR="00A24B6D">
          <w:rPr>
            <w:noProof/>
            <w:webHidden/>
          </w:rPr>
          <w:instrText xml:space="preserve"> PAGEREF _Toc109984715 \h </w:instrText>
        </w:r>
        <w:r w:rsidR="00A24B6D">
          <w:rPr>
            <w:noProof/>
            <w:webHidden/>
          </w:rPr>
        </w:r>
        <w:r w:rsidR="00A24B6D">
          <w:rPr>
            <w:noProof/>
            <w:webHidden/>
          </w:rPr>
          <w:fldChar w:fldCharType="separate"/>
        </w:r>
        <w:r w:rsidR="00B415FD">
          <w:rPr>
            <w:noProof/>
            <w:webHidden/>
          </w:rPr>
          <w:t>8</w:t>
        </w:r>
        <w:r w:rsidR="00A24B6D">
          <w:rPr>
            <w:noProof/>
            <w:webHidden/>
          </w:rPr>
          <w:fldChar w:fldCharType="end"/>
        </w:r>
      </w:hyperlink>
    </w:p>
    <w:p w14:paraId="22D9024E" w14:textId="0563EB30" w:rsidR="00A24B6D" w:rsidRDefault="005C46D3">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9984716" w:history="1">
        <w:r w:rsidR="00A24B6D" w:rsidRPr="00920FCE">
          <w:rPr>
            <w:rStyle w:val="Hyperlink"/>
            <w:noProof/>
          </w:rPr>
          <w:t xml:space="preserve">3 </w:t>
        </w:r>
        <w:r w:rsidR="00A24B6D">
          <w:rPr>
            <w:rFonts w:eastAsiaTheme="minorEastAsia" w:cstheme="minorBidi"/>
            <w:b w:val="0"/>
            <w:bCs w:val="0"/>
            <w:caps w:val="0"/>
            <w:noProof/>
            <w:sz w:val="22"/>
            <w:szCs w:val="22"/>
            <w:lang w:eastAsia="en-GB" w:bidi="ar-SA"/>
          </w:rPr>
          <w:tab/>
        </w:r>
        <w:r w:rsidR="00A24B6D" w:rsidRPr="00920FCE">
          <w:rPr>
            <w:rStyle w:val="Hyperlink"/>
            <w:noProof/>
          </w:rPr>
          <w:t>Safety assessment</w:t>
        </w:r>
        <w:r w:rsidR="00A24B6D">
          <w:rPr>
            <w:noProof/>
            <w:webHidden/>
          </w:rPr>
          <w:tab/>
        </w:r>
        <w:r w:rsidR="00A24B6D">
          <w:rPr>
            <w:noProof/>
            <w:webHidden/>
          </w:rPr>
          <w:fldChar w:fldCharType="begin"/>
        </w:r>
        <w:r w:rsidR="00A24B6D">
          <w:rPr>
            <w:noProof/>
            <w:webHidden/>
          </w:rPr>
          <w:instrText xml:space="preserve"> PAGEREF _Toc109984716 \h </w:instrText>
        </w:r>
        <w:r w:rsidR="00A24B6D">
          <w:rPr>
            <w:noProof/>
            <w:webHidden/>
          </w:rPr>
        </w:r>
        <w:r w:rsidR="00A24B6D">
          <w:rPr>
            <w:noProof/>
            <w:webHidden/>
          </w:rPr>
          <w:fldChar w:fldCharType="separate"/>
        </w:r>
        <w:r w:rsidR="00B415FD">
          <w:rPr>
            <w:noProof/>
            <w:webHidden/>
          </w:rPr>
          <w:t>9</w:t>
        </w:r>
        <w:r w:rsidR="00A24B6D">
          <w:rPr>
            <w:noProof/>
            <w:webHidden/>
          </w:rPr>
          <w:fldChar w:fldCharType="end"/>
        </w:r>
      </w:hyperlink>
    </w:p>
    <w:p w14:paraId="7A3A2CDE" w14:textId="3AE671A9" w:rsidR="00A24B6D" w:rsidRDefault="005C46D3" w:rsidP="00CA2FED">
      <w:pPr>
        <w:pStyle w:val="TOC2"/>
        <w:rPr>
          <w:rFonts w:eastAsiaTheme="minorEastAsia" w:cstheme="minorBidi"/>
          <w:noProof/>
          <w:sz w:val="22"/>
          <w:szCs w:val="22"/>
          <w:lang w:eastAsia="en-GB" w:bidi="ar-SA"/>
        </w:rPr>
      </w:pPr>
      <w:hyperlink w:anchor="_Toc109984717" w:history="1">
        <w:r w:rsidR="00A24B6D" w:rsidRPr="00920FCE">
          <w:rPr>
            <w:rStyle w:val="Hyperlink"/>
            <w:noProof/>
          </w:rPr>
          <w:t>3.1</w:t>
        </w:r>
        <w:r w:rsidR="00A24B6D">
          <w:rPr>
            <w:rFonts w:eastAsiaTheme="minorEastAsia" w:cstheme="minorBidi"/>
            <w:noProof/>
            <w:sz w:val="22"/>
            <w:szCs w:val="22"/>
            <w:lang w:eastAsia="en-GB" w:bidi="ar-SA"/>
          </w:rPr>
          <w:tab/>
        </w:r>
        <w:r w:rsidR="00A24B6D" w:rsidRPr="00920FCE">
          <w:rPr>
            <w:rStyle w:val="Hyperlink"/>
            <w:noProof/>
          </w:rPr>
          <w:t>History of use</w:t>
        </w:r>
        <w:r w:rsidR="00A24B6D">
          <w:rPr>
            <w:noProof/>
            <w:webHidden/>
          </w:rPr>
          <w:tab/>
        </w:r>
        <w:r w:rsidR="00A24B6D">
          <w:rPr>
            <w:noProof/>
            <w:webHidden/>
          </w:rPr>
          <w:fldChar w:fldCharType="begin"/>
        </w:r>
        <w:r w:rsidR="00A24B6D">
          <w:rPr>
            <w:noProof/>
            <w:webHidden/>
          </w:rPr>
          <w:instrText xml:space="preserve"> PAGEREF _Toc109984717 \h </w:instrText>
        </w:r>
        <w:r w:rsidR="00A24B6D">
          <w:rPr>
            <w:noProof/>
            <w:webHidden/>
          </w:rPr>
        </w:r>
        <w:r w:rsidR="00A24B6D">
          <w:rPr>
            <w:noProof/>
            <w:webHidden/>
          </w:rPr>
          <w:fldChar w:fldCharType="separate"/>
        </w:r>
        <w:r w:rsidR="00B415FD">
          <w:rPr>
            <w:noProof/>
            <w:webHidden/>
          </w:rPr>
          <w:t>9</w:t>
        </w:r>
        <w:r w:rsidR="00A24B6D">
          <w:rPr>
            <w:noProof/>
            <w:webHidden/>
          </w:rPr>
          <w:fldChar w:fldCharType="end"/>
        </w:r>
      </w:hyperlink>
    </w:p>
    <w:p w14:paraId="24D84C3E" w14:textId="53E0CBBE"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18" w:history="1">
        <w:r w:rsidR="00A24B6D" w:rsidRPr="00920FCE">
          <w:rPr>
            <w:rStyle w:val="Hyperlink"/>
            <w:noProof/>
          </w:rPr>
          <w:t>3.1.1</w:t>
        </w:r>
        <w:r w:rsidR="00A24B6D">
          <w:rPr>
            <w:rFonts w:eastAsiaTheme="minorEastAsia" w:cstheme="minorBidi"/>
            <w:i w:val="0"/>
            <w:iCs w:val="0"/>
            <w:noProof/>
            <w:sz w:val="22"/>
            <w:szCs w:val="22"/>
            <w:lang w:eastAsia="en-GB" w:bidi="ar-SA"/>
          </w:rPr>
          <w:tab/>
        </w:r>
        <w:r w:rsidR="00A24B6D" w:rsidRPr="00920FCE">
          <w:rPr>
            <w:rStyle w:val="Hyperlink"/>
            <w:noProof/>
          </w:rPr>
          <w:t>Host organism</w:t>
        </w:r>
        <w:r w:rsidR="00A24B6D">
          <w:rPr>
            <w:noProof/>
            <w:webHidden/>
          </w:rPr>
          <w:tab/>
        </w:r>
        <w:r w:rsidR="00A24B6D">
          <w:rPr>
            <w:noProof/>
            <w:webHidden/>
          </w:rPr>
          <w:fldChar w:fldCharType="begin"/>
        </w:r>
        <w:r w:rsidR="00A24B6D">
          <w:rPr>
            <w:noProof/>
            <w:webHidden/>
          </w:rPr>
          <w:instrText xml:space="preserve"> PAGEREF _Toc109984718 \h </w:instrText>
        </w:r>
        <w:r w:rsidR="00A24B6D">
          <w:rPr>
            <w:noProof/>
            <w:webHidden/>
          </w:rPr>
        </w:r>
        <w:r w:rsidR="00A24B6D">
          <w:rPr>
            <w:noProof/>
            <w:webHidden/>
          </w:rPr>
          <w:fldChar w:fldCharType="separate"/>
        </w:r>
        <w:r w:rsidR="00B415FD">
          <w:rPr>
            <w:noProof/>
            <w:webHidden/>
          </w:rPr>
          <w:t>9</w:t>
        </w:r>
        <w:r w:rsidR="00A24B6D">
          <w:rPr>
            <w:noProof/>
            <w:webHidden/>
          </w:rPr>
          <w:fldChar w:fldCharType="end"/>
        </w:r>
      </w:hyperlink>
    </w:p>
    <w:p w14:paraId="18F1A94A" w14:textId="6164E0D6"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19" w:history="1">
        <w:r w:rsidR="00A24B6D" w:rsidRPr="00920FCE">
          <w:rPr>
            <w:rStyle w:val="Hyperlink"/>
            <w:noProof/>
          </w:rPr>
          <w:t>3.1.2</w:t>
        </w:r>
        <w:r w:rsidR="00A24B6D">
          <w:rPr>
            <w:rFonts w:eastAsiaTheme="minorEastAsia" w:cstheme="minorBidi"/>
            <w:i w:val="0"/>
            <w:iCs w:val="0"/>
            <w:noProof/>
            <w:sz w:val="22"/>
            <w:szCs w:val="22"/>
            <w:lang w:eastAsia="en-GB" w:bidi="ar-SA"/>
          </w:rPr>
          <w:tab/>
        </w:r>
        <w:r w:rsidR="00A24B6D" w:rsidRPr="00920FCE">
          <w:rPr>
            <w:rStyle w:val="Hyperlink"/>
            <w:noProof/>
          </w:rPr>
          <w:t>Gene donor organism</w:t>
        </w:r>
        <w:r w:rsidR="00A24B6D">
          <w:rPr>
            <w:noProof/>
            <w:webHidden/>
          </w:rPr>
          <w:tab/>
        </w:r>
        <w:r w:rsidR="00A24B6D">
          <w:rPr>
            <w:noProof/>
            <w:webHidden/>
          </w:rPr>
          <w:fldChar w:fldCharType="begin"/>
        </w:r>
        <w:r w:rsidR="00A24B6D">
          <w:rPr>
            <w:noProof/>
            <w:webHidden/>
          </w:rPr>
          <w:instrText xml:space="preserve"> PAGEREF _Toc109984719 \h </w:instrText>
        </w:r>
        <w:r w:rsidR="00A24B6D">
          <w:rPr>
            <w:noProof/>
            <w:webHidden/>
          </w:rPr>
        </w:r>
        <w:r w:rsidR="00A24B6D">
          <w:rPr>
            <w:noProof/>
            <w:webHidden/>
          </w:rPr>
          <w:fldChar w:fldCharType="separate"/>
        </w:r>
        <w:r w:rsidR="00B415FD">
          <w:rPr>
            <w:noProof/>
            <w:webHidden/>
          </w:rPr>
          <w:t>9</w:t>
        </w:r>
        <w:r w:rsidR="00A24B6D">
          <w:rPr>
            <w:noProof/>
            <w:webHidden/>
          </w:rPr>
          <w:fldChar w:fldCharType="end"/>
        </w:r>
      </w:hyperlink>
    </w:p>
    <w:p w14:paraId="09F8294B" w14:textId="3820D6D6" w:rsidR="00A24B6D" w:rsidRDefault="005C46D3" w:rsidP="00CA2FED">
      <w:pPr>
        <w:pStyle w:val="TOC2"/>
        <w:rPr>
          <w:rFonts w:eastAsiaTheme="minorEastAsia" w:cstheme="minorBidi"/>
          <w:noProof/>
          <w:sz w:val="22"/>
          <w:szCs w:val="22"/>
          <w:lang w:eastAsia="en-GB" w:bidi="ar-SA"/>
        </w:rPr>
      </w:pPr>
      <w:hyperlink w:anchor="_Toc109984720" w:history="1">
        <w:r w:rsidR="00A24B6D" w:rsidRPr="00920FCE">
          <w:rPr>
            <w:rStyle w:val="Hyperlink"/>
            <w:noProof/>
          </w:rPr>
          <w:t>3.2</w:t>
        </w:r>
        <w:r w:rsidR="00A24B6D">
          <w:rPr>
            <w:rFonts w:eastAsiaTheme="minorEastAsia" w:cstheme="minorBidi"/>
            <w:noProof/>
            <w:sz w:val="22"/>
            <w:szCs w:val="22"/>
            <w:lang w:eastAsia="en-GB" w:bidi="ar-SA"/>
          </w:rPr>
          <w:tab/>
        </w:r>
        <w:r w:rsidR="00A24B6D" w:rsidRPr="00920FCE">
          <w:rPr>
            <w:rStyle w:val="Hyperlink"/>
            <w:noProof/>
          </w:rPr>
          <w:t>Characterisation of the genetic modification(s)</w:t>
        </w:r>
        <w:r w:rsidR="00A24B6D">
          <w:rPr>
            <w:noProof/>
            <w:webHidden/>
          </w:rPr>
          <w:tab/>
        </w:r>
        <w:r w:rsidR="00A24B6D">
          <w:rPr>
            <w:noProof/>
            <w:webHidden/>
          </w:rPr>
          <w:fldChar w:fldCharType="begin"/>
        </w:r>
        <w:r w:rsidR="00A24B6D">
          <w:rPr>
            <w:noProof/>
            <w:webHidden/>
          </w:rPr>
          <w:instrText xml:space="preserve"> PAGEREF _Toc109984720 \h </w:instrText>
        </w:r>
        <w:r w:rsidR="00A24B6D">
          <w:rPr>
            <w:noProof/>
            <w:webHidden/>
          </w:rPr>
        </w:r>
        <w:r w:rsidR="00A24B6D">
          <w:rPr>
            <w:noProof/>
            <w:webHidden/>
          </w:rPr>
          <w:fldChar w:fldCharType="separate"/>
        </w:r>
        <w:r w:rsidR="00B415FD">
          <w:rPr>
            <w:noProof/>
            <w:webHidden/>
          </w:rPr>
          <w:t>9</w:t>
        </w:r>
        <w:r w:rsidR="00A24B6D">
          <w:rPr>
            <w:noProof/>
            <w:webHidden/>
          </w:rPr>
          <w:fldChar w:fldCharType="end"/>
        </w:r>
      </w:hyperlink>
    </w:p>
    <w:p w14:paraId="1054D893" w14:textId="1B9BB327"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21" w:history="1">
        <w:r w:rsidR="00A24B6D" w:rsidRPr="00920FCE">
          <w:rPr>
            <w:rStyle w:val="Hyperlink"/>
            <w:noProof/>
          </w:rPr>
          <w:t>3.2.1</w:t>
        </w:r>
        <w:r w:rsidR="00A24B6D">
          <w:rPr>
            <w:rFonts w:eastAsiaTheme="minorEastAsia" w:cstheme="minorBidi"/>
            <w:i w:val="0"/>
            <w:iCs w:val="0"/>
            <w:noProof/>
            <w:sz w:val="22"/>
            <w:szCs w:val="22"/>
            <w:lang w:eastAsia="en-GB" w:bidi="ar-SA"/>
          </w:rPr>
          <w:tab/>
        </w:r>
        <w:r w:rsidR="00A24B6D" w:rsidRPr="00920FCE">
          <w:rPr>
            <w:rStyle w:val="Hyperlink"/>
            <w:noProof/>
          </w:rPr>
          <w:t>Description of the DNA to be introduced and method of transformation</w:t>
        </w:r>
        <w:r w:rsidR="00A24B6D">
          <w:rPr>
            <w:noProof/>
            <w:webHidden/>
          </w:rPr>
          <w:tab/>
        </w:r>
        <w:r w:rsidR="00A24B6D">
          <w:rPr>
            <w:noProof/>
            <w:webHidden/>
          </w:rPr>
          <w:fldChar w:fldCharType="begin"/>
        </w:r>
        <w:r w:rsidR="00A24B6D">
          <w:rPr>
            <w:noProof/>
            <w:webHidden/>
          </w:rPr>
          <w:instrText xml:space="preserve"> PAGEREF _Toc109984721 \h </w:instrText>
        </w:r>
        <w:r w:rsidR="00A24B6D">
          <w:rPr>
            <w:noProof/>
            <w:webHidden/>
          </w:rPr>
        </w:r>
        <w:r w:rsidR="00A24B6D">
          <w:rPr>
            <w:noProof/>
            <w:webHidden/>
          </w:rPr>
          <w:fldChar w:fldCharType="separate"/>
        </w:r>
        <w:r w:rsidR="00B415FD">
          <w:rPr>
            <w:noProof/>
            <w:webHidden/>
          </w:rPr>
          <w:t>9</w:t>
        </w:r>
        <w:r w:rsidR="00A24B6D">
          <w:rPr>
            <w:noProof/>
            <w:webHidden/>
          </w:rPr>
          <w:fldChar w:fldCharType="end"/>
        </w:r>
      </w:hyperlink>
    </w:p>
    <w:p w14:paraId="220526F7" w14:textId="61D0343F"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22" w:history="1">
        <w:r w:rsidR="00A24B6D" w:rsidRPr="00920FCE">
          <w:rPr>
            <w:rStyle w:val="Hyperlink"/>
            <w:noProof/>
          </w:rPr>
          <w:t>3.2.2</w:t>
        </w:r>
        <w:r w:rsidR="00A24B6D">
          <w:rPr>
            <w:rFonts w:eastAsiaTheme="minorEastAsia" w:cstheme="minorBidi"/>
            <w:i w:val="0"/>
            <w:iCs w:val="0"/>
            <w:noProof/>
            <w:sz w:val="22"/>
            <w:szCs w:val="22"/>
            <w:lang w:eastAsia="en-GB" w:bidi="ar-SA"/>
          </w:rPr>
          <w:tab/>
        </w:r>
        <w:r w:rsidR="00A24B6D" w:rsidRPr="00920FCE">
          <w:rPr>
            <w:rStyle w:val="Hyperlink"/>
            <w:noProof/>
          </w:rPr>
          <w:t>Characterisation of inserted DNA</w:t>
        </w:r>
        <w:r w:rsidR="00A24B6D">
          <w:rPr>
            <w:noProof/>
            <w:webHidden/>
          </w:rPr>
          <w:tab/>
        </w:r>
        <w:r w:rsidR="00A24B6D">
          <w:rPr>
            <w:noProof/>
            <w:webHidden/>
          </w:rPr>
          <w:fldChar w:fldCharType="begin"/>
        </w:r>
        <w:r w:rsidR="00A24B6D">
          <w:rPr>
            <w:noProof/>
            <w:webHidden/>
          </w:rPr>
          <w:instrText xml:space="preserve"> PAGEREF _Toc109984722 \h </w:instrText>
        </w:r>
        <w:r w:rsidR="00A24B6D">
          <w:rPr>
            <w:noProof/>
            <w:webHidden/>
          </w:rPr>
        </w:r>
        <w:r w:rsidR="00A24B6D">
          <w:rPr>
            <w:noProof/>
            <w:webHidden/>
          </w:rPr>
          <w:fldChar w:fldCharType="separate"/>
        </w:r>
        <w:r w:rsidR="00B415FD">
          <w:rPr>
            <w:noProof/>
            <w:webHidden/>
          </w:rPr>
          <w:t>9</w:t>
        </w:r>
        <w:r w:rsidR="00A24B6D">
          <w:rPr>
            <w:noProof/>
            <w:webHidden/>
          </w:rPr>
          <w:fldChar w:fldCharType="end"/>
        </w:r>
      </w:hyperlink>
    </w:p>
    <w:p w14:paraId="3AB4A7F9" w14:textId="11ACD524"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23" w:history="1">
        <w:r w:rsidR="00A24B6D" w:rsidRPr="00920FCE">
          <w:rPr>
            <w:rStyle w:val="Hyperlink"/>
            <w:noProof/>
          </w:rPr>
          <w:t>3.2.3</w:t>
        </w:r>
        <w:r w:rsidR="00A24B6D">
          <w:rPr>
            <w:rFonts w:eastAsiaTheme="minorEastAsia" w:cstheme="minorBidi"/>
            <w:i w:val="0"/>
            <w:iCs w:val="0"/>
            <w:noProof/>
            <w:sz w:val="22"/>
            <w:szCs w:val="22"/>
            <w:lang w:eastAsia="en-GB" w:bidi="ar-SA"/>
          </w:rPr>
          <w:tab/>
        </w:r>
        <w:r w:rsidR="00A24B6D" w:rsidRPr="00920FCE">
          <w:rPr>
            <w:rStyle w:val="Hyperlink"/>
            <w:noProof/>
          </w:rPr>
          <w:t>Genetic stability of the inserted gene</w:t>
        </w:r>
        <w:r w:rsidR="00A24B6D">
          <w:rPr>
            <w:noProof/>
            <w:webHidden/>
          </w:rPr>
          <w:tab/>
        </w:r>
        <w:r w:rsidR="00A24B6D">
          <w:rPr>
            <w:noProof/>
            <w:webHidden/>
          </w:rPr>
          <w:fldChar w:fldCharType="begin"/>
        </w:r>
        <w:r w:rsidR="00A24B6D">
          <w:rPr>
            <w:noProof/>
            <w:webHidden/>
          </w:rPr>
          <w:instrText xml:space="preserve"> PAGEREF _Toc109984723 \h </w:instrText>
        </w:r>
        <w:r w:rsidR="00A24B6D">
          <w:rPr>
            <w:noProof/>
            <w:webHidden/>
          </w:rPr>
        </w:r>
        <w:r w:rsidR="00A24B6D">
          <w:rPr>
            <w:noProof/>
            <w:webHidden/>
          </w:rPr>
          <w:fldChar w:fldCharType="separate"/>
        </w:r>
        <w:r w:rsidR="00B415FD">
          <w:rPr>
            <w:noProof/>
            <w:webHidden/>
          </w:rPr>
          <w:t>9</w:t>
        </w:r>
        <w:r w:rsidR="00A24B6D">
          <w:rPr>
            <w:noProof/>
            <w:webHidden/>
          </w:rPr>
          <w:fldChar w:fldCharType="end"/>
        </w:r>
      </w:hyperlink>
    </w:p>
    <w:p w14:paraId="3F9CD7EB" w14:textId="04EE51A0" w:rsidR="00A24B6D" w:rsidRDefault="005C46D3" w:rsidP="00CA2FED">
      <w:pPr>
        <w:pStyle w:val="TOC2"/>
        <w:rPr>
          <w:rFonts w:eastAsiaTheme="minorEastAsia" w:cstheme="minorBidi"/>
          <w:noProof/>
          <w:sz w:val="22"/>
          <w:szCs w:val="22"/>
          <w:lang w:eastAsia="en-GB" w:bidi="ar-SA"/>
        </w:rPr>
      </w:pPr>
      <w:hyperlink w:anchor="_Toc109984724" w:history="1">
        <w:r w:rsidR="00A24B6D" w:rsidRPr="00920FCE">
          <w:rPr>
            <w:rStyle w:val="Hyperlink"/>
            <w:noProof/>
          </w:rPr>
          <w:t>3.3</w:t>
        </w:r>
        <w:r w:rsidR="00A24B6D">
          <w:rPr>
            <w:rFonts w:eastAsiaTheme="minorEastAsia" w:cstheme="minorBidi"/>
            <w:noProof/>
            <w:sz w:val="22"/>
            <w:szCs w:val="22"/>
            <w:lang w:eastAsia="en-GB" w:bidi="ar-SA"/>
          </w:rPr>
          <w:tab/>
        </w:r>
        <w:r w:rsidR="00A24B6D" w:rsidRPr="00920FCE">
          <w:rPr>
            <w:rStyle w:val="Hyperlink"/>
            <w:noProof/>
          </w:rPr>
          <w:t>Safety of glucoamylase</w:t>
        </w:r>
        <w:r w:rsidR="00A24B6D">
          <w:rPr>
            <w:noProof/>
            <w:webHidden/>
          </w:rPr>
          <w:tab/>
        </w:r>
        <w:r w:rsidR="00A24B6D">
          <w:rPr>
            <w:noProof/>
            <w:webHidden/>
          </w:rPr>
          <w:fldChar w:fldCharType="begin"/>
        </w:r>
        <w:r w:rsidR="00A24B6D">
          <w:rPr>
            <w:noProof/>
            <w:webHidden/>
          </w:rPr>
          <w:instrText xml:space="preserve"> PAGEREF _Toc109984724 \h </w:instrText>
        </w:r>
        <w:r w:rsidR="00A24B6D">
          <w:rPr>
            <w:noProof/>
            <w:webHidden/>
          </w:rPr>
        </w:r>
        <w:r w:rsidR="00A24B6D">
          <w:rPr>
            <w:noProof/>
            <w:webHidden/>
          </w:rPr>
          <w:fldChar w:fldCharType="separate"/>
        </w:r>
        <w:r w:rsidR="00B415FD">
          <w:rPr>
            <w:noProof/>
            <w:webHidden/>
          </w:rPr>
          <w:t>10</w:t>
        </w:r>
        <w:r w:rsidR="00A24B6D">
          <w:rPr>
            <w:noProof/>
            <w:webHidden/>
          </w:rPr>
          <w:fldChar w:fldCharType="end"/>
        </w:r>
      </w:hyperlink>
    </w:p>
    <w:p w14:paraId="7F1431C0" w14:textId="27CD661A"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25" w:history="1">
        <w:r w:rsidR="00A24B6D" w:rsidRPr="00920FCE">
          <w:rPr>
            <w:rStyle w:val="Hyperlink"/>
            <w:noProof/>
          </w:rPr>
          <w:t>3.3.1</w:t>
        </w:r>
        <w:r w:rsidR="00A24B6D">
          <w:rPr>
            <w:rFonts w:eastAsiaTheme="minorEastAsia" w:cstheme="minorBidi"/>
            <w:i w:val="0"/>
            <w:iCs w:val="0"/>
            <w:noProof/>
            <w:sz w:val="22"/>
            <w:szCs w:val="22"/>
            <w:lang w:eastAsia="en-GB" w:bidi="ar-SA"/>
          </w:rPr>
          <w:tab/>
        </w:r>
        <w:r w:rsidR="00A24B6D" w:rsidRPr="00920FCE">
          <w:rPr>
            <w:rStyle w:val="Hyperlink"/>
            <w:noProof/>
          </w:rPr>
          <w:t>History of safe use of the enzyme</w:t>
        </w:r>
        <w:r w:rsidR="00A24B6D">
          <w:rPr>
            <w:noProof/>
            <w:webHidden/>
          </w:rPr>
          <w:tab/>
        </w:r>
        <w:r w:rsidR="00A24B6D">
          <w:rPr>
            <w:noProof/>
            <w:webHidden/>
          </w:rPr>
          <w:fldChar w:fldCharType="begin"/>
        </w:r>
        <w:r w:rsidR="00A24B6D">
          <w:rPr>
            <w:noProof/>
            <w:webHidden/>
          </w:rPr>
          <w:instrText xml:space="preserve"> PAGEREF _Toc109984725 \h </w:instrText>
        </w:r>
        <w:r w:rsidR="00A24B6D">
          <w:rPr>
            <w:noProof/>
            <w:webHidden/>
          </w:rPr>
        </w:r>
        <w:r w:rsidR="00A24B6D">
          <w:rPr>
            <w:noProof/>
            <w:webHidden/>
          </w:rPr>
          <w:fldChar w:fldCharType="separate"/>
        </w:r>
        <w:r w:rsidR="00B415FD">
          <w:rPr>
            <w:noProof/>
            <w:webHidden/>
          </w:rPr>
          <w:t>10</w:t>
        </w:r>
        <w:r w:rsidR="00A24B6D">
          <w:rPr>
            <w:noProof/>
            <w:webHidden/>
          </w:rPr>
          <w:fldChar w:fldCharType="end"/>
        </w:r>
      </w:hyperlink>
    </w:p>
    <w:p w14:paraId="44C59BB8" w14:textId="6B36F9E5"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26" w:history="1">
        <w:r w:rsidR="00A24B6D" w:rsidRPr="00920FCE">
          <w:rPr>
            <w:rStyle w:val="Hyperlink"/>
            <w:noProof/>
          </w:rPr>
          <w:t>3.3.2</w:t>
        </w:r>
        <w:r w:rsidR="00A24B6D">
          <w:rPr>
            <w:rFonts w:eastAsiaTheme="minorEastAsia" w:cstheme="minorBidi"/>
            <w:i w:val="0"/>
            <w:iCs w:val="0"/>
            <w:noProof/>
            <w:sz w:val="22"/>
            <w:szCs w:val="22"/>
            <w:lang w:eastAsia="en-GB" w:bidi="ar-SA"/>
          </w:rPr>
          <w:tab/>
        </w:r>
        <w:r w:rsidR="00A24B6D" w:rsidRPr="00920FCE">
          <w:rPr>
            <w:rStyle w:val="Hyperlink"/>
            <w:noProof/>
          </w:rPr>
          <w:t>Bioinformatics concerning potential for toxicity</w:t>
        </w:r>
        <w:r w:rsidR="00A24B6D">
          <w:rPr>
            <w:noProof/>
            <w:webHidden/>
          </w:rPr>
          <w:tab/>
        </w:r>
        <w:r w:rsidR="00A24B6D">
          <w:rPr>
            <w:noProof/>
            <w:webHidden/>
          </w:rPr>
          <w:fldChar w:fldCharType="begin"/>
        </w:r>
        <w:r w:rsidR="00A24B6D">
          <w:rPr>
            <w:noProof/>
            <w:webHidden/>
          </w:rPr>
          <w:instrText xml:space="preserve"> PAGEREF _Toc109984726 \h </w:instrText>
        </w:r>
        <w:r w:rsidR="00A24B6D">
          <w:rPr>
            <w:noProof/>
            <w:webHidden/>
          </w:rPr>
        </w:r>
        <w:r w:rsidR="00A24B6D">
          <w:rPr>
            <w:noProof/>
            <w:webHidden/>
          </w:rPr>
          <w:fldChar w:fldCharType="separate"/>
        </w:r>
        <w:r w:rsidR="00B415FD">
          <w:rPr>
            <w:noProof/>
            <w:webHidden/>
          </w:rPr>
          <w:t>10</w:t>
        </w:r>
        <w:r w:rsidR="00A24B6D">
          <w:rPr>
            <w:noProof/>
            <w:webHidden/>
          </w:rPr>
          <w:fldChar w:fldCharType="end"/>
        </w:r>
      </w:hyperlink>
    </w:p>
    <w:p w14:paraId="6BF3BD2E" w14:textId="0BD26822"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27" w:history="1">
        <w:r w:rsidR="00A24B6D" w:rsidRPr="00920FCE">
          <w:rPr>
            <w:rStyle w:val="Hyperlink"/>
            <w:noProof/>
          </w:rPr>
          <w:t>3.3.3</w:t>
        </w:r>
        <w:r w:rsidR="00A24B6D">
          <w:rPr>
            <w:rFonts w:eastAsiaTheme="minorEastAsia" w:cstheme="minorBidi"/>
            <w:i w:val="0"/>
            <w:iCs w:val="0"/>
            <w:noProof/>
            <w:sz w:val="22"/>
            <w:szCs w:val="22"/>
            <w:lang w:eastAsia="en-GB" w:bidi="ar-SA"/>
          </w:rPr>
          <w:tab/>
        </w:r>
        <w:r w:rsidR="00A24B6D" w:rsidRPr="00920FCE">
          <w:rPr>
            <w:rStyle w:val="Hyperlink"/>
            <w:noProof/>
          </w:rPr>
          <w:t>Toxicology data</w:t>
        </w:r>
        <w:r w:rsidR="00A24B6D">
          <w:rPr>
            <w:noProof/>
            <w:webHidden/>
          </w:rPr>
          <w:tab/>
        </w:r>
        <w:r w:rsidR="00A24B6D">
          <w:rPr>
            <w:noProof/>
            <w:webHidden/>
          </w:rPr>
          <w:fldChar w:fldCharType="begin"/>
        </w:r>
        <w:r w:rsidR="00A24B6D">
          <w:rPr>
            <w:noProof/>
            <w:webHidden/>
          </w:rPr>
          <w:instrText xml:space="preserve"> PAGEREF _Toc109984727 \h </w:instrText>
        </w:r>
        <w:r w:rsidR="00A24B6D">
          <w:rPr>
            <w:noProof/>
            <w:webHidden/>
          </w:rPr>
        </w:r>
        <w:r w:rsidR="00A24B6D">
          <w:rPr>
            <w:noProof/>
            <w:webHidden/>
          </w:rPr>
          <w:fldChar w:fldCharType="separate"/>
        </w:r>
        <w:r w:rsidR="00B415FD">
          <w:rPr>
            <w:noProof/>
            <w:webHidden/>
          </w:rPr>
          <w:t>10</w:t>
        </w:r>
        <w:r w:rsidR="00A24B6D">
          <w:rPr>
            <w:noProof/>
            <w:webHidden/>
          </w:rPr>
          <w:fldChar w:fldCharType="end"/>
        </w:r>
      </w:hyperlink>
    </w:p>
    <w:p w14:paraId="00AD77AA" w14:textId="4B28A48B"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28" w:history="1">
        <w:r w:rsidR="00A24B6D" w:rsidRPr="00920FCE">
          <w:rPr>
            <w:rStyle w:val="Hyperlink"/>
            <w:noProof/>
          </w:rPr>
          <w:t>3.3.4</w:t>
        </w:r>
        <w:r w:rsidR="00A24B6D">
          <w:rPr>
            <w:rFonts w:eastAsiaTheme="minorEastAsia" w:cstheme="minorBidi"/>
            <w:i w:val="0"/>
            <w:iCs w:val="0"/>
            <w:noProof/>
            <w:sz w:val="22"/>
            <w:szCs w:val="22"/>
            <w:lang w:eastAsia="en-GB" w:bidi="ar-SA"/>
          </w:rPr>
          <w:tab/>
        </w:r>
        <w:r w:rsidR="00A24B6D" w:rsidRPr="00920FCE">
          <w:rPr>
            <w:rStyle w:val="Hyperlink"/>
            <w:noProof/>
          </w:rPr>
          <w:t>Potential for allergenicity</w:t>
        </w:r>
        <w:r w:rsidR="00A24B6D">
          <w:rPr>
            <w:noProof/>
            <w:webHidden/>
          </w:rPr>
          <w:tab/>
        </w:r>
        <w:r w:rsidR="00A24B6D">
          <w:rPr>
            <w:noProof/>
            <w:webHidden/>
          </w:rPr>
          <w:fldChar w:fldCharType="begin"/>
        </w:r>
        <w:r w:rsidR="00A24B6D">
          <w:rPr>
            <w:noProof/>
            <w:webHidden/>
          </w:rPr>
          <w:instrText xml:space="preserve"> PAGEREF _Toc109984728 \h </w:instrText>
        </w:r>
        <w:r w:rsidR="00A24B6D">
          <w:rPr>
            <w:noProof/>
            <w:webHidden/>
          </w:rPr>
        </w:r>
        <w:r w:rsidR="00A24B6D">
          <w:rPr>
            <w:noProof/>
            <w:webHidden/>
          </w:rPr>
          <w:fldChar w:fldCharType="separate"/>
        </w:r>
        <w:r w:rsidR="00B415FD">
          <w:rPr>
            <w:noProof/>
            <w:webHidden/>
          </w:rPr>
          <w:t>12</w:t>
        </w:r>
        <w:r w:rsidR="00A24B6D">
          <w:rPr>
            <w:noProof/>
            <w:webHidden/>
          </w:rPr>
          <w:fldChar w:fldCharType="end"/>
        </w:r>
      </w:hyperlink>
    </w:p>
    <w:p w14:paraId="19D4623E" w14:textId="545223FE" w:rsidR="00A24B6D" w:rsidRDefault="005C46D3">
      <w:pPr>
        <w:pStyle w:val="TOC3"/>
        <w:tabs>
          <w:tab w:val="left" w:pos="1100"/>
          <w:tab w:val="right" w:leader="dot" w:pos="9060"/>
        </w:tabs>
        <w:rPr>
          <w:rFonts w:eastAsiaTheme="minorEastAsia" w:cstheme="minorBidi"/>
          <w:i w:val="0"/>
          <w:iCs w:val="0"/>
          <w:noProof/>
          <w:sz w:val="22"/>
          <w:szCs w:val="22"/>
          <w:lang w:eastAsia="en-GB" w:bidi="ar-SA"/>
        </w:rPr>
      </w:pPr>
      <w:hyperlink w:anchor="_Toc109984729" w:history="1">
        <w:r w:rsidR="00A24B6D" w:rsidRPr="00920FCE">
          <w:rPr>
            <w:rStyle w:val="Hyperlink"/>
            <w:noProof/>
          </w:rPr>
          <w:t>3.3.5</w:t>
        </w:r>
        <w:r w:rsidR="00A24B6D">
          <w:rPr>
            <w:rFonts w:eastAsiaTheme="minorEastAsia" w:cstheme="minorBidi"/>
            <w:i w:val="0"/>
            <w:iCs w:val="0"/>
            <w:noProof/>
            <w:sz w:val="22"/>
            <w:szCs w:val="22"/>
            <w:lang w:eastAsia="en-GB" w:bidi="ar-SA"/>
          </w:rPr>
          <w:tab/>
        </w:r>
        <w:r w:rsidR="00A24B6D" w:rsidRPr="00920FCE">
          <w:rPr>
            <w:rStyle w:val="Hyperlink"/>
            <w:noProof/>
          </w:rPr>
          <w:t>Assessments by other regulatory agencies</w:t>
        </w:r>
        <w:r w:rsidR="00A24B6D">
          <w:rPr>
            <w:noProof/>
            <w:webHidden/>
          </w:rPr>
          <w:tab/>
        </w:r>
        <w:r w:rsidR="00A24B6D">
          <w:rPr>
            <w:noProof/>
            <w:webHidden/>
          </w:rPr>
          <w:fldChar w:fldCharType="begin"/>
        </w:r>
        <w:r w:rsidR="00A24B6D">
          <w:rPr>
            <w:noProof/>
            <w:webHidden/>
          </w:rPr>
          <w:instrText xml:space="preserve"> PAGEREF _Toc109984729 \h </w:instrText>
        </w:r>
        <w:r w:rsidR="00A24B6D">
          <w:rPr>
            <w:noProof/>
            <w:webHidden/>
          </w:rPr>
        </w:r>
        <w:r w:rsidR="00A24B6D">
          <w:rPr>
            <w:noProof/>
            <w:webHidden/>
          </w:rPr>
          <w:fldChar w:fldCharType="separate"/>
        </w:r>
        <w:r w:rsidR="00B415FD">
          <w:rPr>
            <w:noProof/>
            <w:webHidden/>
          </w:rPr>
          <w:t>12</w:t>
        </w:r>
        <w:r w:rsidR="00A24B6D">
          <w:rPr>
            <w:noProof/>
            <w:webHidden/>
          </w:rPr>
          <w:fldChar w:fldCharType="end"/>
        </w:r>
      </w:hyperlink>
    </w:p>
    <w:p w14:paraId="03C9A1D2" w14:textId="0380861B" w:rsidR="00A24B6D" w:rsidRDefault="005C46D3" w:rsidP="00CA2FED">
      <w:pPr>
        <w:pStyle w:val="TOC2"/>
        <w:rPr>
          <w:rFonts w:eastAsiaTheme="minorEastAsia" w:cstheme="minorBidi"/>
          <w:noProof/>
          <w:sz w:val="22"/>
          <w:szCs w:val="22"/>
          <w:lang w:eastAsia="en-GB" w:bidi="ar-SA"/>
        </w:rPr>
      </w:pPr>
      <w:hyperlink w:anchor="_Toc109984730" w:history="1">
        <w:r w:rsidR="00A24B6D" w:rsidRPr="00920FCE">
          <w:rPr>
            <w:rStyle w:val="Hyperlink"/>
            <w:noProof/>
          </w:rPr>
          <w:t>3.4</w:t>
        </w:r>
        <w:r w:rsidR="00A24B6D">
          <w:rPr>
            <w:rFonts w:eastAsiaTheme="minorEastAsia" w:cstheme="minorBidi"/>
            <w:noProof/>
            <w:sz w:val="22"/>
            <w:szCs w:val="22"/>
            <w:lang w:eastAsia="en-GB" w:bidi="ar-SA"/>
          </w:rPr>
          <w:tab/>
        </w:r>
        <w:r w:rsidR="00A24B6D" w:rsidRPr="00920FCE">
          <w:rPr>
            <w:rStyle w:val="Hyperlink"/>
            <w:noProof/>
          </w:rPr>
          <w:t>Dietary exposure assessment</w:t>
        </w:r>
        <w:r w:rsidR="00A24B6D">
          <w:rPr>
            <w:noProof/>
            <w:webHidden/>
          </w:rPr>
          <w:tab/>
        </w:r>
        <w:r w:rsidR="00A24B6D">
          <w:rPr>
            <w:noProof/>
            <w:webHidden/>
          </w:rPr>
          <w:fldChar w:fldCharType="begin"/>
        </w:r>
        <w:r w:rsidR="00A24B6D">
          <w:rPr>
            <w:noProof/>
            <w:webHidden/>
          </w:rPr>
          <w:instrText xml:space="preserve"> PAGEREF _Toc109984730 \h </w:instrText>
        </w:r>
        <w:r w:rsidR="00A24B6D">
          <w:rPr>
            <w:noProof/>
            <w:webHidden/>
          </w:rPr>
        </w:r>
        <w:r w:rsidR="00A24B6D">
          <w:rPr>
            <w:noProof/>
            <w:webHidden/>
          </w:rPr>
          <w:fldChar w:fldCharType="separate"/>
        </w:r>
        <w:r w:rsidR="00B415FD">
          <w:rPr>
            <w:noProof/>
            <w:webHidden/>
          </w:rPr>
          <w:t>12</w:t>
        </w:r>
        <w:r w:rsidR="00A24B6D">
          <w:rPr>
            <w:noProof/>
            <w:webHidden/>
          </w:rPr>
          <w:fldChar w:fldCharType="end"/>
        </w:r>
      </w:hyperlink>
    </w:p>
    <w:p w14:paraId="6951A43B" w14:textId="0672FCD2" w:rsidR="00A24B6D" w:rsidRDefault="005C46D3">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9984731" w:history="1">
        <w:r w:rsidR="00A24B6D" w:rsidRPr="00920FCE">
          <w:rPr>
            <w:rStyle w:val="Hyperlink"/>
            <w:noProof/>
          </w:rPr>
          <w:t xml:space="preserve">4 </w:t>
        </w:r>
        <w:r w:rsidR="00A24B6D">
          <w:rPr>
            <w:rFonts w:eastAsiaTheme="minorEastAsia" w:cstheme="minorBidi"/>
            <w:b w:val="0"/>
            <w:bCs w:val="0"/>
            <w:caps w:val="0"/>
            <w:noProof/>
            <w:sz w:val="22"/>
            <w:szCs w:val="22"/>
            <w:lang w:eastAsia="en-GB" w:bidi="ar-SA"/>
          </w:rPr>
          <w:tab/>
        </w:r>
        <w:r w:rsidR="00A24B6D" w:rsidRPr="00920FCE">
          <w:rPr>
            <w:rStyle w:val="Hyperlink"/>
            <w:noProof/>
          </w:rPr>
          <w:t>Discussion and Conclusion</w:t>
        </w:r>
        <w:r w:rsidR="00A24B6D">
          <w:rPr>
            <w:noProof/>
            <w:webHidden/>
          </w:rPr>
          <w:tab/>
        </w:r>
        <w:r w:rsidR="00A24B6D">
          <w:rPr>
            <w:noProof/>
            <w:webHidden/>
          </w:rPr>
          <w:fldChar w:fldCharType="begin"/>
        </w:r>
        <w:r w:rsidR="00A24B6D">
          <w:rPr>
            <w:noProof/>
            <w:webHidden/>
          </w:rPr>
          <w:instrText xml:space="preserve"> PAGEREF _Toc109984731 \h </w:instrText>
        </w:r>
        <w:r w:rsidR="00A24B6D">
          <w:rPr>
            <w:noProof/>
            <w:webHidden/>
          </w:rPr>
        </w:r>
        <w:r w:rsidR="00A24B6D">
          <w:rPr>
            <w:noProof/>
            <w:webHidden/>
          </w:rPr>
          <w:fldChar w:fldCharType="separate"/>
        </w:r>
        <w:r w:rsidR="00B415FD">
          <w:rPr>
            <w:noProof/>
            <w:webHidden/>
          </w:rPr>
          <w:t>13</w:t>
        </w:r>
        <w:r w:rsidR="00A24B6D">
          <w:rPr>
            <w:noProof/>
            <w:webHidden/>
          </w:rPr>
          <w:fldChar w:fldCharType="end"/>
        </w:r>
      </w:hyperlink>
    </w:p>
    <w:p w14:paraId="7C1650B2" w14:textId="0078B10D" w:rsidR="00A24B6D" w:rsidRDefault="005C46D3">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9984732" w:history="1">
        <w:r w:rsidR="00A24B6D" w:rsidRPr="00920FCE">
          <w:rPr>
            <w:rStyle w:val="Hyperlink"/>
            <w:noProof/>
          </w:rPr>
          <w:t xml:space="preserve">5 </w:t>
        </w:r>
        <w:r w:rsidR="00A24B6D">
          <w:rPr>
            <w:rFonts w:eastAsiaTheme="minorEastAsia" w:cstheme="minorBidi"/>
            <w:b w:val="0"/>
            <w:bCs w:val="0"/>
            <w:caps w:val="0"/>
            <w:noProof/>
            <w:sz w:val="22"/>
            <w:szCs w:val="22"/>
            <w:lang w:eastAsia="en-GB" w:bidi="ar-SA"/>
          </w:rPr>
          <w:tab/>
        </w:r>
        <w:r w:rsidR="00A24B6D" w:rsidRPr="00920FCE">
          <w:rPr>
            <w:rStyle w:val="Hyperlink"/>
            <w:noProof/>
          </w:rPr>
          <w:t>References</w:t>
        </w:r>
        <w:r w:rsidR="00A24B6D">
          <w:rPr>
            <w:noProof/>
            <w:webHidden/>
          </w:rPr>
          <w:tab/>
        </w:r>
        <w:r w:rsidR="00A24B6D">
          <w:rPr>
            <w:noProof/>
            <w:webHidden/>
          </w:rPr>
          <w:fldChar w:fldCharType="begin"/>
        </w:r>
        <w:r w:rsidR="00A24B6D">
          <w:rPr>
            <w:noProof/>
            <w:webHidden/>
          </w:rPr>
          <w:instrText xml:space="preserve"> PAGEREF _Toc109984732 \h </w:instrText>
        </w:r>
        <w:r w:rsidR="00A24B6D">
          <w:rPr>
            <w:noProof/>
            <w:webHidden/>
          </w:rPr>
        </w:r>
        <w:r w:rsidR="00A24B6D">
          <w:rPr>
            <w:noProof/>
            <w:webHidden/>
          </w:rPr>
          <w:fldChar w:fldCharType="separate"/>
        </w:r>
        <w:r w:rsidR="00B415FD">
          <w:rPr>
            <w:noProof/>
            <w:webHidden/>
          </w:rPr>
          <w:t>14</w:t>
        </w:r>
        <w:r w:rsidR="00A24B6D">
          <w:rPr>
            <w:noProof/>
            <w:webHidden/>
          </w:rPr>
          <w:fldChar w:fldCharType="end"/>
        </w:r>
      </w:hyperlink>
    </w:p>
    <w:p w14:paraId="26B82DC2" w14:textId="4B3C3D30" w:rsidR="00562917" w:rsidRDefault="00326D85" w:rsidP="00051ED9">
      <w:r>
        <w:fldChar w:fldCharType="end"/>
      </w:r>
    </w:p>
    <w:p w14:paraId="02C0204E" w14:textId="77777777" w:rsidR="00E066BA" w:rsidRDefault="00E066BA" w:rsidP="00051ED9"/>
    <w:p w14:paraId="1FA405FD" w14:textId="77777777" w:rsidR="00051ED9" w:rsidRDefault="00562917" w:rsidP="00772BDC">
      <w:r w:rsidRPr="00E203C2">
        <w:br w:type="page"/>
      </w:r>
    </w:p>
    <w:p w14:paraId="3A608203" w14:textId="055EFEE0" w:rsidR="00672E4D" w:rsidRDefault="00672E4D" w:rsidP="00672E4D">
      <w:pPr>
        <w:pStyle w:val="Heading1"/>
      </w:pPr>
      <w:bookmarkStart w:id="5" w:name="_Toc501699816"/>
      <w:bookmarkStart w:id="6" w:name="_Toc536543984"/>
      <w:bookmarkStart w:id="7" w:name="_Toc536607119"/>
      <w:bookmarkStart w:id="8" w:name="_Toc30154591"/>
      <w:bookmarkStart w:id="9" w:name="_Toc85204754"/>
      <w:bookmarkStart w:id="10" w:name="_Toc85211316"/>
      <w:bookmarkStart w:id="11" w:name="_Toc87259291"/>
      <w:bookmarkStart w:id="12" w:name="_Toc92790202"/>
      <w:bookmarkStart w:id="13" w:name="_Toc100321326"/>
      <w:bookmarkStart w:id="14" w:name="_Toc100325011"/>
      <w:bookmarkStart w:id="15" w:name="_Toc109984705"/>
      <w:bookmarkStart w:id="16" w:name="_Toc536543986"/>
      <w:bookmarkStart w:id="17" w:name="_Toc536607121"/>
      <w:bookmarkStart w:id="18" w:name="_Toc30154593"/>
      <w:bookmarkStart w:id="19" w:name="_Toc85204756"/>
      <w:bookmarkStart w:id="20" w:name="_Toc85211318"/>
      <w:bookmarkStart w:id="21" w:name="_Toc87259293"/>
      <w:r>
        <w:lastRenderedPageBreak/>
        <w:t xml:space="preserve">1 </w:t>
      </w:r>
      <w:r>
        <w:tab/>
        <w:t>Introduction</w:t>
      </w:r>
      <w:bookmarkEnd w:id="5"/>
      <w:bookmarkEnd w:id="6"/>
      <w:bookmarkEnd w:id="7"/>
      <w:bookmarkEnd w:id="8"/>
      <w:bookmarkEnd w:id="9"/>
      <w:bookmarkEnd w:id="10"/>
      <w:bookmarkEnd w:id="11"/>
      <w:bookmarkEnd w:id="12"/>
      <w:bookmarkEnd w:id="13"/>
      <w:bookmarkEnd w:id="14"/>
      <w:bookmarkEnd w:id="15"/>
    </w:p>
    <w:p w14:paraId="2D6B85FD" w14:textId="7A640EFE" w:rsidR="008A0F81" w:rsidRDefault="008C7AFC" w:rsidP="3F6E6AE9">
      <w:pPr>
        <w:spacing w:after="240"/>
        <w:rPr>
          <w:i/>
          <w:iCs/>
          <w:lang w:bidi="ar-SA"/>
        </w:rPr>
      </w:pPr>
      <w:r w:rsidRPr="3F6E6AE9">
        <w:rPr>
          <w:lang w:bidi="ar-SA"/>
        </w:rPr>
        <w:t xml:space="preserve">Novozymes Australia Pty Ltd </w:t>
      </w:r>
      <w:r w:rsidR="00BE27AC">
        <w:t xml:space="preserve">) has applied to amend the Australia New Zealand Food Standards Code (the Code) </w:t>
      </w:r>
      <w:r w:rsidRPr="3F6E6AE9">
        <w:rPr>
          <w:lang w:bidi="ar-SA"/>
        </w:rPr>
        <w:t>to permit the u</w:t>
      </w:r>
      <w:r w:rsidR="00465C6C" w:rsidRPr="3F6E6AE9">
        <w:rPr>
          <w:lang w:bidi="ar-SA"/>
        </w:rPr>
        <w:t>se of</w:t>
      </w:r>
      <w:r w:rsidR="00D354B6" w:rsidRPr="3F6E6AE9">
        <w:rPr>
          <w:lang w:bidi="ar-SA"/>
        </w:rPr>
        <w:t xml:space="preserve"> the enzyme glucoamylase (EC 3.2.1.3</w:t>
      </w:r>
      <w:r w:rsidRPr="3F6E6AE9">
        <w:rPr>
          <w:lang w:bidi="ar-SA"/>
        </w:rPr>
        <w:t xml:space="preserve">) </w:t>
      </w:r>
      <w:r w:rsidR="00D354B6">
        <w:t xml:space="preserve">as a processing aid in baking processes, brewing processes and </w:t>
      </w:r>
      <w:r w:rsidR="006D308A">
        <w:t xml:space="preserve">starch processing for the production of starch hydrolysates, including glucose syrups. </w:t>
      </w:r>
      <w:r w:rsidRPr="3F6E6AE9">
        <w:rPr>
          <w:lang w:bidi="ar-SA"/>
        </w:rPr>
        <w:t xml:space="preserve">This enzyme is sourced from a genetically modified (GM) strain of </w:t>
      </w:r>
      <w:r w:rsidRPr="3F6E6AE9">
        <w:rPr>
          <w:i/>
          <w:iCs/>
          <w:lang w:bidi="ar-SA"/>
        </w:rPr>
        <w:t xml:space="preserve">Aspergillus </w:t>
      </w:r>
      <w:r w:rsidR="00465C6C" w:rsidRPr="3F6E6AE9">
        <w:rPr>
          <w:i/>
          <w:iCs/>
        </w:rPr>
        <w:t>niger</w:t>
      </w:r>
      <w:r w:rsidRPr="3F6E6AE9">
        <w:rPr>
          <w:i/>
          <w:iCs/>
          <w:lang w:bidi="ar-SA"/>
        </w:rPr>
        <w:t xml:space="preserve"> </w:t>
      </w:r>
      <w:r w:rsidR="00465C6C" w:rsidRPr="3F6E6AE9">
        <w:rPr>
          <w:lang w:bidi="ar-SA"/>
        </w:rPr>
        <w:t xml:space="preserve">containing </w:t>
      </w:r>
      <w:r w:rsidR="00B52561" w:rsidRPr="3F6E6AE9">
        <w:rPr>
          <w:lang w:bidi="ar-SA"/>
        </w:rPr>
        <w:t xml:space="preserve">a protein engineered variant of </w:t>
      </w:r>
      <w:r w:rsidR="00465C6C" w:rsidRPr="3F6E6AE9">
        <w:rPr>
          <w:lang w:bidi="ar-SA"/>
        </w:rPr>
        <w:t>the glucoamylase</w:t>
      </w:r>
      <w:r w:rsidRPr="3F6E6AE9">
        <w:rPr>
          <w:lang w:bidi="ar-SA"/>
        </w:rPr>
        <w:t xml:space="preserve"> gene from </w:t>
      </w:r>
      <w:r w:rsidR="00465C6C" w:rsidRPr="3F6E6AE9">
        <w:rPr>
          <w:i/>
          <w:iCs/>
          <w:lang w:bidi="ar-SA"/>
        </w:rPr>
        <w:t>Penicillium oxalicum</w:t>
      </w:r>
      <w:r w:rsidR="008A0F81" w:rsidRPr="3F6E6AE9">
        <w:rPr>
          <w:i/>
          <w:iCs/>
          <w:lang w:bidi="ar-SA"/>
        </w:rPr>
        <w:t>.</w:t>
      </w:r>
      <w:r w:rsidR="005303EE" w:rsidRPr="3F6E6AE9">
        <w:rPr>
          <w:i/>
          <w:iCs/>
          <w:lang w:bidi="ar-SA"/>
        </w:rPr>
        <w:t xml:space="preserve"> </w:t>
      </w:r>
      <w:r w:rsidR="005303EE" w:rsidRPr="3F6E6AE9">
        <w:rPr>
          <w:lang w:bidi="ar-SA"/>
        </w:rPr>
        <w:t xml:space="preserve">The enzyme is </w:t>
      </w:r>
      <w:r w:rsidR="00E22848" w:rsidRPr="3F6E6AE9">
        <w:rPr>
          <w:lang w:bidi="ar-SA"/>
        </w:rPr>
        <w:t>prepared</w:t>
      </w:r>
      <w:r w:rsidR="005303EE" w:rsidRPr="3F6E6AE9">
        <w:rPr>
          <w:lang w:bidi="ar-SA"/>
        </w:rPr>
        <w:t xml:space="preserve"> as a liquid or granulate</w:t>
      </w:r>
      <w:r w:rsidR="00A270DC">
        <w:rPr>
          <w:lang w:bidi="ar-SA"/>
        </w:rPr>
        <w:t>d</w:t>
      </w:r>
      <w:r w:rsidR="005303EE" w:rsidRPr="3F6E6AE9">
        <w:rPr>
          <w:lang w:bidi="ar-SA"/>
        </w:rPr>
        <w:t xml:space="preserve"> preparation under the commercial name </w:t>
      </w:r>
      <w:proofErr w:type="spellStart"/>
      <w:r w:rsidR="005303EE" w:rsidRPr="3F6E6AE9">
        <w:rPr>
          <w:lang w:bidi="ar-SA"/>
        </w:rPr>
        <w:t>Attenuzyme</w:t>
      </w:r>
      <w:proofErr w:type="spellEnd"/>
      <w:r w:rsidR="00A270DC">
        <w:rPr>
          <w:lang w:bidi="ar-SA"/>
        </w:rPr>
        <w:t xml:space="preserve"> </w:t>
      </w:r>
      <w:r w:rsidR="005303EE" w:rsidRPr="3F6E6AE9">
        <w:rPr>
          <w:lang w:bidi="ar-SA"/>
        </w:rPr>
        <w:t>Fast.</w:t>
      </w:r>
    </w:p>
    <w:p w14:paraId="54827983" w14:textId="6ECFBBBC" w:rsidR="00135FD2" w:rsidRDefault="008A0F81" w:rsidP="00135FD2">
      <w:pPr>
        <w:rPr>
          <w:lang w:bidi="ar-SA"/>
        </w:rPr>
      </w:pPr>
      <w:r w:rsidRPr="3F6E6AE9">
        <w:rPr>
          <w:lang w:bidi="ar-SA"/>
        </w:rPr>
        <w:t>Schedule 18 of the Australia New Zealand Food Standards Code (the Code) includes permissio</w:t>
      </w:r>
      <w:r w:rsidR="00D354B6" w:rsidRPr="3F6E6AE9">
        <w:rPr>
          <w:lang w:bidi="ar-SA"/>
        </w:rPr>
        <w:t>n for two</w:t>
      </w:r>
      <w:r w:rsidR="00465C6C" w:rsidRPr="3F6E6AE9">
        <w:rPr>
          <w:lang w:bidi="ar-SA"/>
        </w:rPr>
        <w:t xml:space="preserve"> other glucoamylase</w:t>
      </w:r>
      <w:r w:rsidRPr="3F6E6AE9">
        <w:rPr>
          <w:lang w:bidi="ar-SA"/>
        </w:rPr>
        <w:t xml:space="preserve"> enzymes</w:t>
      </w:r>
      <w:r w:rsidR="0059304D">
        <w:rPr>
          <w:lang w:bidi="ar-SA"/>
        </w:rPr>
        <w:t xml:space="preserve"> (not protein engineered)</w:t>
      </w:r>
      <w:r w:rsidRPr="3F6E6AE9">
        <w:rPr>
          <w:lang w:bidi="ar-SA"/>
        </w:rPr>
        <w:t xml:space="preserve"> produced by </w:t>
      </w:r>
      <w:r w:rsidRPr="3F6E6AE9">
        <w:rPr>
          <w:i/>
          <w:iCs/>
          <w:lang w:bidi="ar-SA"/>
        </w:rPr>
        <w:t xml:space="preserve">Aspergillus </w:t>
      </w:r>
      <w:r w:rsidR="00465C6C" w:rsidRPr="3F6E6AE9">
        <w:rPr>
          <w:i/>
          <w:iCs/>
          <w:lang w:bidi="ar-SA"/>
        </w:rPr>
        <w:t>niger</w:t>
      </w:r>
      <w:r w:rsidRPr="3F6E6AE9">
        <w:rPr>
          <w:i/>
          <w:iCs/>
          <w:lang w:bidi="ar-SA"/>
        </w:rPr>
        <w:t xml:space="preserve"> </w:t>
      </w:r>
      <w:r w:rsidR="00465C6C" w:rsidRPr="3F6E6AE9">
        <w:rPr>
          <w:lang w:bidi="ar-SA"/>
        </w:rPr>
        <w:t>containing the glucoamylase</w:t>
      </w:r>
      <w:r w:rsidRPr="3F6E6AE9">
        <w:rPr>
          <w:lang w:bidi="ar-SA"/>
        </w:rPr>
        <w:t xml:space="preserve"> gene from</w:t>
      </w:r>
      <w:r w:rsidR="00D354B6" w:rsidRPr="3F6E6AE9">
        <w:rPr>
          <w:i/>
          <w:iCs/>
          <w:lang w:bidi="ar-SA"/>
        </w:rPr>
        <w:t xml:space="preserve"> </w:t>
      </w:r>
      <w:proofErr w:type="spellStart"/>
      <w:r w:rsidR="00D354B6" w:rsidRPr="3F6E6AE9">
        <w:rPr>
          <w:i/>
          <w:iCs/>
        </w:rPr>
        <w:t>Talaromyces</w:t>
      </w:r>
      <w:proofErr w:type="spellEnd"/>
      <w:r w:rsidR="00D354B6" w:rsidRPr="3F6E6AE9">
        <w:rPr>
          <w:i/>
          <w:iCs/>
        </w:rPr>
        <w:t xml:space="preserve"> </w:t>
      </w:r>
      <w:proofErr w:type="spellStart"/>
      <w:r w:rsidR="00D354B6" w:rsidRPr="3F6E6AE9">
        <w:rPr>
          <w:i/>
          <w:iCs/>
        </w:rPr>
        <w:t>emersonii</w:t>
      </w:r>
      <w:proofErr w:type="spellEnd"/>
      <w:r w:rsidR="00D354B6" w:rsidRPr="3F6E6AE9">
        <w:rPr>
          <w:i/>
          <w:iCs/>
        </w:rPr>
        <w:t xml:space="preserve"> or </w:t>
      </w:r>
      <w:proofErr w:type="spellStart"/>
      <w:r w:rsidR="00D354B6" w:rsidRPr="3F6E6AE9">
        <w:rPr>
          <w:i/>
          <w:iCs/>
        </w:rPr>
        <w:t>Trametes</w:t>
      </w:r>
      <w:proofErr w:type="spellEnd"/>
      <w:r w:rsidR="00D354B6" w:rsidRPr="3F6E6AE9">
        <w:rPr>
          <w:i/>
          <w:iCs/>
        </w:rPr>
        <w:t xml:space="preserve"> </w:t>
      </w:r>
      <w:proofErr w:type="spellStart"/>
      <w:r w:rsidR="00D354B6" w:rsidRPr="3F6E6AE9">
        <w:rPr>
          <w:i/>
          <w:iCs/>
        </w:rPr>
        <w:t>cingulata</w:t>
      </w:r>
      <w:proofErr w:type="spellEnd"/>
      <w:r w:rsidRPr="3F6E6AE9">
        <w:rPr>
          <w:i/>
          <w:iCs/>
          <w:lang w:bidi="ar-SA"/>
        </w:rPr>
        <w:t xml:space="preserve">. </w:t>
      </w:r>
      <w:r w:rsidRPr="3F6E6AE9">
        <w:rPr>
          <w:lang w:bidi="ar-SA"/>
        </w:rPr>
        <w:t>Therefore,</w:t>
      </w:r>
      <w:r w:rsidR="00465C6C" w:rsidRPr="3F6E6AE9">
        <w:rPr>
          <w:lang w:bidi="ar-SA"/>
        </w:rPr>
        <w:t xml:space="preserve"> this </w:t>
      </w:r>
      <w:r w:rsidR="00F8641F">
        <w:rPr>
          <w:lang w:bidi="ar-SA"/>
        </w:rPr>
        <w:t xml:space="preserve">protein engineered variant </w:t>
      </w:r>
      <w:r w:rsidR="0059304D">
        <w:rPr>
          <w:lang w:bidi="ar-SA"/>
        </w:rPr>
        <w:t xml:space="preserve">of the </w:t>
      </w:r>
      <w:r w:rsidR="00465C6C" w:rsidRPr="3F6E6AE9">
        <w:rPr>
          <w:lang w:bidi="ar-SA"/>
        </w:rPr>
        <w:t>glucoamylase</w:t>
      </w:r>
      <w:r w:rsidRPr="3F6E6AE9">
        <w:rPr>
          <w:lang w:bidi="ar-SA"/>
        </w:rPr>
        <w:t xml:space="preserve"> enzyme </w:t>
      </w:r>
      <w:r w:rsidR="00132CDE" w:rsidRPr="3F6E6AE9">
        <w:rPr>
          <w:lang w:bidi="ar-SA"/>
        </w:rPr>
        <w:t>produced by</w:t>
      </w:r>
      <w:r w:rsidR="009C455A" w:rsidRPr="3F6E6AE9">
        <w:rPr>
          <w:lang w:bidi="ar-SA"/>
        </w:rPr>
        <w:t xml:space="preserve"> GM</w:t>
      </w:r>
      <w:r w:rsidR="00132CDE" w:rsidRPr="3F6E6AE9">
        <w:rPr>
          <w:lang w:bidi="ar-SA"/>
        </w:rPr>
        <w:t xml:space="preserve"> </w:t>
      </w:r>
      <w:r w:rsidR="00465C6C" w:rsidRPr="3F6E6AE9">
        <w:rPr>
          <w:i/>
          <w:iCs/>
          <w:lang w:bidi="ar-SA"/>
        </w:rPr>
        <w:t>A. niger</w:t>
      </w:r>
      <w:r w:rsidR="00132CDE" w:rsidRPr="3F6E6AE9">
        <w:rPr>
          <w:lang w:bidi="ar-SA"/>
        </w:rPr>
        <w:t xml:space="preserve"> </w:t>
      </w:r>
      <w:r w:rsidR="00465C6C" w:rsidRPr="3F6E6AE9">
        <w:rPr>
          <w:lang w:bidi="ar-SA"/>
        </w:rPr>
        <w:t>containing the glucoamylase</w:t>
      </w:r>
      <w:r w:rsidR="00132CDE" w:rsidRPr="3F6E6AE9">
        <w:rPr>
          <w:lang w:bidi="ar-SA"/>
        </w:rPr>
        <w:t xml:space="preserve"> </w:t>
      </w:r>
      <w:r w:rsidRPr="3F6E6AE9">
        <w:rPr>
          <w:lang w:bidi="ar-SA"/>
        </w:rPr>
        <w:t xml:space="preserve">gene from </w:t>
      </w:r>
      <w:r w:rsidR="00465C6C" w:rsidRPr="3F6E6AE9">
        <w:rPr>
          <w:i/>
          <w:iCs/>
          <w:lang w:bidi="ar-SA"/>
        </w:rPr>
        <w:t>P. oxalicum</w:t>
      </w:r>
      <w:r w:rsidRPr="3F6E6AE9">
        <w:rPr>
          <w:i/>
          <w:iCs/>
          <w:lang w:bidi="ar-SA"/>
        </w:rPr>
        <w:t xml:space="preserve"> </w:t>
      </w:r>
      <w:r w:rsidRPr="3F6E6AE9">
        <w:rPr>
          <w:lang w:bidi="ar-SA"/>
        </w:rPr>
        <w:t>needs pre-market assessment before permission can be given for its use as a processing aid. If permitted, the enzyme will provide an</w:t>
      </w:r>
      <w:r w:rsidR="006A5873" w:rsidRPr="3F6E6AE9">
        <w:rPr>
          <w:lang w:bidi="ar-SA"/>
        </w:rPr>
        <w:t xml:space="preserve"> option fo</w:t>
      </w:r>
      <w:r w:rsidR="00D07A04" w:rsidRPr="3F6E6AE9">
        <w:rPr>
          <w:lang w:bidi="ar-SA"/>
        </w:rPr>
        <w:t>r</w:t>
      </w:r>
      <w:r w:rsidR="006A5873" w:rsidRPr="3F6E6AE9">
        <w:rPr>
          <w:lang w:bidi="ar-SA"/>
        </w:rPr>
        <w:t xml:space="preserve"> </w:t>
      </w:r>
      <w:r w:rsidR="00D07A04">
        <w:t xml:space="preserve">baking processes, brewing processes and </w:t>
      </w:r>
      <w:r w:rsidR="00B07031">
        <w:t>starch processing for the production of starch hydrolysates, including glucose syrups.</w:t>
      </w:r>
    </w:p>
    <w:p w14:paraId="46F85261" w14:textId="2922EB1F" w:rsidR="00135FD2" w:rsidRDefault="00135FD2" w:rsidP="00F42F9D">
      <w:pPr>
        <w:pStyle w:val="Heading2"/>
        <w:numPr>
          <w:ilvl w:val="1"/>
          <w:numId w:val="4"/>
        </w:numPr>
      </w:pPr>
      <w:bookmarkStart w:id="22" w:name="_Toc59030966"/>
      <w:bookmarkStart w:id="23" w:name="_Toc90553173"/>
      <w:bookmarkStart w:id="24" w:name="_Toc90641266"/>
      <w:bookmarkStart w:id="25" w:name="_Toc90649529"/>
      <w:bookmarkStart w:id="26" w:name="_Toc90983297"/>
      <w:bookmarkStart w:id="27" w:name="_Toc94530979"/>
      <w:bookmarkStart w:id="28" w:name="_Toc100321327"/>
      <w:bookmarkStart w:id="29" w:name="_Toc100325012"/>
      <w:bookmarkStart w:id="30" w:name="_Toc109984706"/>
      <w:r w:rsidRPr="00D410BF">
        <w:t>Objectives</w:t>
      </w:r>
      <w:r>
        <w:t xml:space="preserve"> of the assessment</w:t>
      </w:r>
      <w:bookmarkEnd w:id="22"/>
      <w:bookmarkEnd w:id="23"/>
      <w:bookmarkEnd w:id="24"/>
      <w:bookmarkEnd w:id="25"/>
      <w:bookmarkEnd w:id="26"/>
      <w:bookmarkEnd w:id="27"/>
      <w:bookmarkEnd w:id="28"/>
      <w:bookmarkEnd w:id="29"/>
      <w:bookmarkEnd w:id="30"/>
    </w:p>
    <w:p w14:paraId="3F17B6DF" w14:textId="11002D43" w:rsidR="00135FD2" w:rsidRDefault="00135FD2" w:rsidP="00B64595">
      <w:pPr>
        <w:spacing w:after="240"/>
        <w:rPr>
          <w:lang w:bidi="ar-SA"/>
        </w:rPr>
      </w:pPr>
      <w:r>
        <w:rPr>
          <w:lang w:bidi="ar-SA"/>
        </w:rPr>
        <w:t>The objectives of this risk and technical assessment were to:</w:t>
      </w:r>
    </w:p>
    <w:p w14:paraId="2C8368B7" w14:textId="483C53C2" w:rsidR="00135FD2" w:rsidRPr="00B659CB" w:rsidDel="00AF339B" w:rsidRDefault="00135FD2" w:rsidP="00B64595">
      <w:pPr>
        <w:pStyle w:val="FSBullet1"/>
        <w:spacing w:after="240"/>
      </w:pPr>
      <w:r w:rsidRPr="00B659CB" w:rsidDel="00AF339B">
        <w:t xml:space="preserve">determine whether the proposed purpose is clearly stated and that the enzyme achieves its technological function in the quantity and form proposed to </w:t>
      </w:r>
      <w:r w:rsidDel="00AF339B">
        <w:t>be used as a food processing aid</w:t>
      </w:r>
      <w:r w:rsidR="002B5AE0">
        <w:t>.</w:t>
      </w:r>
    </w:p>
    <w:p w14:paraId="00FF3DE1" w14:textId="2CFA0B0E" w:rsidR="00135FD2" w:rsidRPr="00F853CC" w:rsidRDefault="00135FD2" w:rsidP="00B64595">
      <w:pPr>
        <w:pStyle w:val="FSBullet1"/>
        <w:spacing w:after="240"/>
      </w:pPr>
      <w:r w:rsidRPr="00B659CB">
        <w:t xml:space="preserve">evaluate potential public health and safety </w:t>
      </w:r>
      <w:r>
        <w:t>concerns</w:t>
      </w:r>
      <w:r w:rsidRPr="00B659CB">
        <w:t xml:space="preserve"> that may arise from the use of </w:t>
      </w:r>
      <w:r>
        <w:t>this</w:t>
      </w:r>
      <w:r w:rsidRPr="00B659CB">
        <w:t xml:space="preserve"> </w:t>
      </w:r>
      <w:r>
        <w:t>enzyme, produced by</w:t>
      </w:r>
      <w:r w:rsidRPr="00B659CB">
        <w:t xml:space="preserve"> </w:t>
      </w:r>
      <w:r>
        <w:t xml:space="preserve">a GM microorganism, </w:t>
      </w:r>
      <w:r w:rsidRPr="00B659CB">
        <w:t>as a processing aid</w:t>
      </w:r>
      <w:r>
        <w:t>, specifically by considering the:</w:t>
      </w:r>
    </w:p>
    <w:p w14:paraId="5AF59FC0" w14:textId="77777777" w:rsidR="00135FD2" w:rsidRDefault="00135FD2" w:rsidP="00135FD2">
      <w:pPr>
        <w:pStyle w:val="FSBullet2"/>
      </w:pPr>
      <w:r w:rsidRPr="00F853CC">
        <w:t>history of us</w:t>
      </w:r>
      <w:r>
        <w:t>e of the gene donor and production microorganisms</w:t>
      </w:r>
    </w:p>
    <w:p w14:paraId="1BFE7FBD" w14:textId="77777777" w:rsidR="00135FD2" w:rsidRPr="00460133" w:rsidRDefault="00135FD2" w:rsidP="00135FD2">
      <w:pPr>
        <w:pStyle w:val="FSBullet2"/>
      </w:pPr>
      <w:r>
        <w:t>characterisation of the genetic modification(s), and</w:t>
      </w:r>
    </w:p>
    <w:p w14:paraId="30606428" w14:textId="72EA08A8" w:rsidR="00135FD2" w:rsidRPr="008A0F81" w:rsidRDefault="00135FD2" w:rsidP="00894CE0">
      <w:pPr>
        <w:pStyle w:val="FSBullet2"/>
      </w:pPr>
      <w:r>
        <w:t>safety of the enzyme.</w:t>
      </w:r>
    </w:p>
    <w:p w14:paraId="15602AB6" w14:textId="54E84BF6" w:rsidR="00C172C9" w:rsidRPr="00C172C9" w:rsidRDefault="00672E4D" w:rsidP="00C172C9">
      <w:pPr>
        <w:pStyle w:val="Heading1"/>
      </w:pPr>
      <w:bookmarkStart w:id="31" w:name="_Toc92790203"/>
      <w:bookmarkStart w:id="32" w:name="_Toc100321328"/>
      <w:bookmarkStart w:id="33" w:name="_Toc100325013"/>
      <w:bookmarkStart w:id="34" w:name="_Toc109984707"/>
      <w:r>
        <w:t xml:space="preserve">2 </w:t>
      </w:r>
      <w:r>
        <w:tab/>
        <w:t>Food technology assessment</w:t>
      </w:r>
      <w:bookmarkEnd w:id="16"/>
      <w:bookmarkEnd w:id="17"/>
      <w:bookmarkEnd w:id="18"/>
      <w:bookmarkEnd w:id="19"/>
      <w:bookmarkEnd w:id="20"/>
      <w:bookmarkEnd w:id="21"/>
      <w:bookmarkEnd w:id="31"/>
      <w:bookmarkEnd w:id="32"/>
      <w:bookmarkEnd w:id="33"/>
      <w:bookmarkEnd w:id="34"/>
    </w:p>
    <w:p w14:paraId="50E99F2C" w14:textId="77777777" w:rsidR="00DC57AF" w:rsidRDefault="00DC57AF" w:rsidP="00F42F9D">
      <w:pPr>
        <w:pStyle w:val="Heading2"/>
      </w:pPr>
      <w:bookmarkStart w:id="35" w:name="_Toc472327044"/>
      <w:bookmarkStart w:id="36" w:name="_Toc501699819"/>
      <w:bookmarkStart w:id="37" w:name="_Toc59030968"/>
      <w:bookmarkStart w:id="38" w:name="_Toc90553175"/>
      <w:bookmarkStart w:id="39" w:name="_Toc90641268"/>
      <w:bookmarkStart w:id="40" w:name="_Toc90649531"/>
      <w:bookmarkStart w:id="41" w:name="_Toc90983299"/>
      <w:bookmarkStart w:id="42" w:name="_Toc94530981"/>
      <w:bookmarkStart w:id="43" w:name="_Toc100321329"/>
      <w:bookmarkStart w:id="44" w:name="_Toc100325014"/>
      <w:bookmarkStart w:id="45" w:name="_Toc109984708"/>
      <w:r>
        <w:t>2.1</w:t>
      </w:r>
      <w:r>
        <w:tab/>
        <w:t>Characterisation of the enzyme</w:t>
      </w:r>
      <w:bookmarkEnd w:id="35"/>
      <w:bookmarkEnd w:id="36"/>
      <w:bookmarkEnd w:id="37"/>
      <w:bookmarkEnd w:id="38"/>
      <w:bookmarkEnd w:id="39"/>
      <w:bookmarkEnd w:id="40"/>
      <w:bookmarkEnd w:id="41"/>
      <w:bookmarkEnd w:id="42"/>
      <w:bookmarkEnd w:id="43"/>
      <w:bookmarkEnd w:id="44"/>
      <w:bookmarkEnd w:id="45"/>
    </w:p>
    <w:p w14:paraId="2D8C3CFE" w14:textId="77777777" w:rsidR="00DC57AF" w:rsidRDefault="00DC57AF" w:rsidP="00DC57AF">
      <w:pPr>
        <w:pStyle w:val="Heading3"/>
      </w:pPr>
      <w:bookmarkStart w:id="46" w:name="_Toc90553176"/>
      <w:bookmarkStart w:id="47" w:name="_Toc90641269"/>
      <w:bookmarkStart w:id="48" w:name="_Toc90649532"/>
      <w:bookmarkStart w:id="49" w:name="_Toc90983300"/>
      <w:bookmarkStart w:id="50" w:name="_Toc94530982"/>
      <w:bookmarkStart w:id="51" w:name="_Toc100321330"/>
      <w:bookmarkStart w:id="52" w:name="_Toc100325015"/>
      <w:bookmarkStart w:id="53" w:name="_Toc109984709"/>
      <w:r w:rsidRPr="009925D0">
        <w:t>2.1.1</w:t>
      </w:r>
      <w:r w:rsidRPr="009925D0">
        <w:tab/>
        <w:t>Identity and properties of the enzyme</w:t>
      </w:r>
      <w:bookmarkEnd w:id="46"/>
      <w:bookmarkEnd w:id="47"/>
      <w:bookmarkEnd w:id="48"/>
      <w:bookmarkEnd w:id="49"/>
      <w:bookmarkEnd w:id="50"/>
      <w:bookmarkEnd w:id="51"/>
      <w:bookmarkEnd w:id="52"/>
      <w:bookmarkEnd w:id="53"/>
    </w:p>
    <w:p w14:paraId="6C9712DE" w14:textId="660A0875" w:rsidR="00DC57AF" w:rsidRDefault="78E1DEB2" w:rsidP="00DC57AF">
      <w:r>
        <w:t>The production microorganism of the enzyme is a GM st</w:t>
      </w:r>
      <w:r w:rsidR="50FCDA44">
        <w:t>r</w:t>
      </w:r>
      <w:r>
        <w:t xml:space="preserve">ain of </w:t>
      </w:r>
      <w:r w:rsidRPr="3EBADA22">
        <w:rPr>
          <w:i/>
          <w:iCs/>
        </w:rPr>
        <w:t>A</w:t>
      </w:r>
      <w:r>
        <w:t xml:space="preserve">. </w:t>
      </w:r>
      <w:r w:rsidR="031BBFDB" w:rsidRPr="3EBADA22">
        <w:rPr>
          <w:i/>
          <w:iCs/>
        </w:rPr>
        <w:t>niger</w:t>
      </w:r>
      <w:r w:rsidRPr="3EBADA22">
        <w:rPr>
          <w:i/>
          <w:iCs/>
        </w:rPr>
        <w:t xml:space="preserve">. </w:t>
      </w:r>
      <w:r>
        <w:t xml:space="preserve">The </w:t>
      </w:r>
      <w:r w:rsidR="212A958D">
        <w:t>donor</w:t>
      </w:r>
      <w:r>
        <w:t xml:space="preserve"> micro</w:t>
      </w:r>
      <w:r w:rsidR="031BBFDB">
        <w:t>organism of the glucoamylase</w:t>
      </w:r>
      <w:r>
        <w:t xml:space="preserve"> gene is </w:t>
      </w:r>
      <w:r w:rsidR="031BBFDB" w:rsidRPr="3EBADA22">
        <w:rPr>
          <w:i/>
          <w:iCs/>
        </w:rPr>
        <w:t>P. oxali</w:t>
      </w:r>
      <w:r w:rsidR="0F7AEFD9" w:rsidRPr="3EBADA22">
        <w:rPr>
          <w:i/>
          <w:iCs/>
        </w:rPr>
        <w:t>c</w:t>
      </w:r>
      <w:r w:rsidR="031BBFDB" w:rsidRPr="3EBADA22">
        <w:rPr>
          <w:i/>
          <w:iCs/>
        </w:rPr>
        <w:t>um</w:t>
      </w:r>
      <w:r w:rsidR="212A958D" w:rsidRPr="3EBADA22">
        <w:rPr>
          <w:i/>
          <w:iCs/>
        </w:rPr>
        <w:t xml:space="preserve"> </w:t>
      </w:r>
      <w:r w:rsidR="212A958D">
        <w:t xml:space="preserve">(further details contained in </w:t>
      </w:r>
      <w:r w:rsidR="19BE7D49">
        <w:t xml:space="preserve">Section </w:t>
      </w:r>
      <w:r w:rsidR="212A958D">
        <w:t xml:space="preserve">3). </w:t>
      </w:r>
      <w:r w:rsidR="07F0ACC7">
        <w:t xml:space="preserve">The applicant provided relevant information regarding the identity of the enzyme, and this has been verified using </w:t>
      </w:r>
      <w:r w:rsidR="212A958D">
        <w:t>the IUBMB enzyme nomenclature database</w:t>
      </w:r>
      <w:r w:rsidR="79EDCCCE">
        <w:t xml:space="preserve"> (IUBMB, 2018)</w:t>
      </w:r>
      <w:r w:rsidR="212A958D">
        <w:t>. Details of the identity of the enzyme are provided below</w:t>
      </w:r>
      <w:r w:rsidR="1AE599C4">
        <w:t>.</w:t>
      </w:r>
    </w:p>
    <w:p w14:paraId="7ABBCF26" w14:textId="77777777" w:rsidR="00DC57AF" w:rsidRDefault="00DC57AF" w:rsidP="00DC57AF"/>
    <w:p w14:paraId="269B206F" w14:textId="05141580" w:rsidR="00DC57AF" w:rsidRDefault="00DC57AF" w:rsidP="00DC57AF">
      <w:r w:rsidRPr="00626316">
        <w:t xml:space="preserve">Accepted </w:t>
      </w:r>
      <w:r w:rsidRPr="002C1909">
        <w:t>IUBMB</w:t>
      </w:r>
      <w:r>
        <w:rPr>
          <w:rStyle w:val="FootnoteReference"/>
        </w:rPr>
        <w:footnoteReference w:id="2"/>
      </w:r>
      <w:r w:rsidRPr="00626316">
        <w:t xml:space="preserve"> name:</w:t>
      </w:r>
      <w:r w:rsidRPr="00626316">
        <w:tab/>
      </w:r>
      <w:r w:rsidR="00730997">
        <w:t>G</w:t>
      </w:r>
      <w:r w:rsidR="00D354B6" w:rsidRPr="00D354B6">
        <w:t>lucan 1,4-α-glucosidase</w:t>
      </w:r>
      <w:r w:rsidRPr="00626316">
        <w:tab/>
      </w:r>
      <w:r>
        <w:tab/>
      </w:r>
      <w:r>
        <w:tab/>
      </w:r>
      <w:r>
        <w:tab/>
      </w:r>
    </w:p>
    <w:p w14:paraId="2837FC3F" w14:textId="77777777" w:rsidR="00DC57AF" w:rsidRDefault="00DC57AF" w:rsidP="00DC57AF"/>
    <w:p w14:paraId="7E6B6679" w14:textId="2A94D4C2" w:rsidR="00B00026" w:rsidRDefault="00DC57AF" w:rsidP="00B81422">
      <w:r>
        <w:lastRenderedPageBreak/>
        <w:t>Systematic name:</w:t>
      </w:r>
      <w:r>
        <w:tab/>
      </w:r>
      <w:r>
        <w:tab/>
      </w:r>
      <w:r w:rsidR="00D354B6" w:rsidRPr="00D354B6">
        <w:t>4-α-D-</w:t>
      </w:r>
      <w:r w:rsidR="00A270DC">
        <w:t>Gl</w:t>
      </w:r>
      <w:r w:rsidR="00D354B6" w:rsidRPr="00D354B6">
        <w:t xml:space="preserve">ucan </w:t>
      </w:r>
      <w:proofErr w:type="spellStart"/>
      <w:r w:rsidR="00A270DC">
        <w:t>G</w:t>
      </w:r>
      <w:r w:rsidR="00D354B6" w:rsidRPr="00D354B6">
        <w:t>lucohydrolase</w:t>
      </w:r>
      <w:proofErr w:type="spellEnd"/>
      <w:r>
        <w:tab/>
      </w:r>
    </w:p>
    <w:p w14:paraId="08042B76" w14:textId="73BBB68B" w:rsidR="009C455A" w:rsidRDefault="009C455A" w:rsidP="00B81422"/>
    <w:p w14:paraId="1F044DAD" w14:textId="6A5ABB72" w:rsidR="009C455A" w:rsidRPr="000A0F6C" w:rsidRDefault="00D354B6" w:rsidP="00D354B6">
      <w:pPr>
        <w:ind w:left="2835" w:hanging="2835"/>
        <w:rPr>
          <w:vertAlign w:val="subscript"/>
        </w:rPr>
      </w:pPr>
      <w:r>
        <w:t>Other names:</w:t>
      </w:r>
      <w:r>
        <w:tab/>
      </w:r>
      <w:r w:rsidR="005059D1">
        <w:t>G</w:t>
      </w:r>
      <w:r>
        <w:t xml:space="preserve">lucoamylase; </w:t>
      </w:r>
      <w:proofErr w:type="spellStart"/>
      <w:r w:rsidR="00A270DC">
        <w:t>A</w:t>
      </w:r>
      <w:r>
        <w:t>myloglucosidase</w:t>
      </w:r>
      <w:proofErr w:type="spellEnd"/>
      <w:r>
        <w:t xml:space="preserve">; γ-amylase; </w:t>
      </w:r>
      <w:r w:rsidR="00A270DC">
        <w:t>L</w:t>
      </w:r>
      <w:r>
        <w:t>ysosomal α-</w:t>
      </w:r>
      <w:r w:rsidR="00A270DC">
        <w:t>G</w:t>
      </w:r>
      <w:r>
        <w:t xml:space="preserve">lucosidase; </w:t>
      </w:r>
      <w:r w:rsidR="00A270DC">
        <w:t>A</w:t>
      </w:r>
      <w:r>
        <w:t xml:space="preserve">cid maltase; </w:t>
      </w:r>
      <w:r w:rsidR="00A270DC">
        <w:t>E</w:t>
      </w:r>
      <w:r>
        <w:t>xo-1,4-α-</w:t>
      </w:r>
      <w:r w:rsidR="00A270DC">
        <w:t>G</w:t>
      </w:r>
      <w:r>
        <w:t xml:space="preserve">lucosidase; </w:t>
      </w:r>
      <w:r w:rsidR="00A270DC">
        <w:t>G</w:t>
      </w:r>
      <w:r>
        <w:t xml:space="preserve">lucose </w:t>
      </w:r>
      <w:r w:rsidR="00A270DC">
        <w:t>A</w:t>
      </w:r>
      <w:r>
        <w:t>mylase; γ-1,4-</w:t>
      </w:r>
      <w:r w:rsidR="00A270DC">
        <w:t>G</w:t>
      </w:r>
      <w:r>
        <w:t xml:space="preserve">lucan </w:t>
      </w:r>
      <w:proofErr w:type="spellStart"/>
      <w:r w:rsidR="00A270DC">
        <w:t>G</w:t>
      </w:r>
      <w:r>
        <w:t>lucohydrolase</w:t>
      </w:r>
      <w:proofErr w:type="spellEnd"/>
      <w:r>
        <w:t xml:space="preserve">; </w:t>
      </w:r>
      <w:r w:rsidR="00A270DC">
        <w:t>A</w:t>
      </w:r>
      <w:r>
        <w:t xml:space="preserve">cid </w:t>
      </w:r>
      <w:r w:rsidR="00A270DC">
        <w:t>M</w:t>
      </w:r>
      <w:r>
        <w:t>altase; 1,4-α-D-</w:t>
      </w:r>
      <w:r w:rsidR="00A270DC">
        <w:t>G</w:t>
      </w:r>
      <w:r>
        <w:t xml:space="preserve">lucan </w:t>
      </w:r>
      <w:proofErr w:type="spellStart"/>
      <w:r w:rsidR="00A270DC">
        <w:t>G</w:t>
      </w:r>
      <w:r>
        <w:t>lucohydrolase</w:t>
      </w:r>
      <w:proofErr w:type="spellEnd"/>
      <w:r>
        <w:tab/>
      </w:r>
    </w:p>
    <w:p w14:paraId="0C11CFCC" w14:textId="77777777" w:rsidR="00DC57AF" w:rsidRDefault="00DC57AF" w:rsidP="00DC57AF">
      <w:pPr>
        <w:ind w:left="3400" w:hanging="3400"/>
      </w:pPr>
    </w:p>
    <w:p w14:paraId="564219DB" w14:textId="2D6014F9" w:rsidR="00D07A04" w:rsidRDefault="00DC57AF" w:rsidP="00D07A04">
      <w:pPr>
        <w:ind w:left="2835" w:hanging="2835"/>
      </w:pPr>
      <w:r>
        <w:t>IUBMB en</w:t>
      </w:r>
      <w:r w:rsidR="000A0F6C">
        <w:t xml:space="preserve">zyme </w:t>
      </w:r>
      <w:r w:rsidR="00D07A04">
        <w:tab/>
        <w:t>EC 3.2.1.3</w:t>
      </w:r>
    </w:p>
    <w:p w14:paraId="225D89BF" w14:textId="3226DA55" w:rsidR="00DC57AF" w:rsidRDefault="00D07A04" w:rsidP="00DC57AF">
      <w:pPr>
        <w:ind w:left="3400" w:hanging="3400"/>
      </w:pPr>
      <w:r>
        <w:t xml:space="preserve">nomenclature: </w:t>
      </w:r>
    </w:p>
    <w:p w14:paraId="797A268C" w14:textId="77777777" w:rsidR="00DC57AF" w:rsidRDefault="00DC57AF" w:rsidP="00DC57AF">
      <w:pPr>
        <w:ind w:left="3400" w:hanging="3400"/>
      </w:pPr>
    </w:p>
    <w:p w14:paraId="5E25B19C" w14:textId="19B04322" w:rsidR="00DC57AF" w:rsidRDefault="00DC57AF" w:rsidP="00D07A04">
      <w:pPr>
        <w:ind w:left="2835" w:hanging="2835"/>
      </w:pPr>
      <w:r>
        <w:t>CAS number</w:t>
      </w:r>
      <w:r>
        <w:rPr>
          <w:rStyle w:val="FootnoteReference"/>
        </w:rPr>
        <w:footnoteReference w:id="3"/>
      </w:r>
      <w:r>
        <w:t>:</w:t>
      </w:r>
      <w:r>
        <w:tab/>
      </w:r>
      <w:r w:rsidR="00F849B1" w:rsidRPr="00F849B1">
        <w:t>9032-08-0</w:t>
      </w:r>
    </w:p>
    <w:p w14:paraId="671B851C" w14:textId="77777777" w:rsidR="00DC57AF" w:rsidRDefault="00DC57AF" w:rsidP="00DC57AF">
      <w:pPr>
        <w:ind w:left="3400" w:hanging="3400"/>
      </w:pPr>
    </w:p>
    <w:p w14:paraId="0AA4D5AC" w14:textId="3565CF5F" w:rsidR="005303EE" w:rsidRDefault="00D07A04" w:rsidP="005303EE">
      <w:pPr>
        <w:ind w:left="2835" w:hanging="2835"/>
      </w:pPr>
      <w:r>
        <w:t>Reaction:</w:t>
      </w:r>
      <w:r>
        <w:tab/>
      </w:r>
      <w:r w:rsidR="00F849B1" w:rsidRPr="00F849B1">
        <w:t>Hydrolysis of terminal (1→4)-linked α-D-glucose residues successively from non-reducing ends of the chains with release of β-D-glucose</w:t>
      </w:r>
    </w:p>
    <w:p w14:paraId="7C4218DA" w14:textId="77777777" w:rsidR="00700578" w:rsidRDefault="00700578" w:rsidP="00F42F9D">
      <w:pPr>
        <w:pStyle w:val="Heading2"/>
      </w:pPr>
      <w:bookmarkStart w:id="54" w:name="_Toc59030969"/>
      <w:bookmarkStart w:id="55" w:name="_Toc90553177"/>
      <w:bookmarkStart w:id="56" w:name="_Toc90641270"/>
      <w:bookmarkStart w:id="57" w:name="_Toc90649533"/>
      <w:bookmarkStart w:id="58" w:name="_Toc90983301"/>
      <w:bookmarkStart w:id="59" w:name="_Toc94530983"/>
      <w:bookmarkStart w:id="60" w:name="_Toc100321331"/>
      <w:bookmarkStart w:id="61" w:name="_Toc100325016"/>
      <w:bookmarkStart w:id="62" w:name="_Toc109984710"/>
      <w:r>
        <w:t>2.2</w:t>
      </w:r>
      <w:r>
        <w:tab/>
        <w:t>Manufacturing process</w:t>
      </w:r>
      <w:bookmarkEnd w:id="54"/>
      <w:bookmarkEnd w:id="55"/>
      <w:bookmarkEnd w:id="56"/>
      <w:bookmarkEnd w:id="57"/>
      <w:bookmarkEnd w:id="58"/>
      <w:bookmarkEnd w:id="59"/>
      <w:bookmarkEnd w:id="60"/>
      <w:bookmarkEnd w:id="61"/>
      <w:bookmarkEnd w:id="62"/>
    </w:p>
    <w:p w14:paraId="0EC04BCC" w14:textId="15D9DCC7" w:rsidR="00700578" w:rsidRDefault="00700578" w:rsidP="00700578">
      <w:pPr>
        <w:pStyle w:val="Heading3"/>
      </w:pPr>
      <w:bookmarkStart w:id="63" w:name="_Toc90553178"/>
      <w:bookmarkStart w:id="64" w:name="_Toc90641271"/>
      <w:bookmarkStart w:id="65" w:name="_Toc90649534"/>
      <w:bookmarkStart w:id="66" w:name="_Toc90983302"/>
      <w:bookmarkStart w:id="67" w:name="_Toc94530984"/>
      <w:bookmarkStart w:id="68" w:name="_Toc100321332"/>
      <w:bookmarkStart w:id="69" w:name="_Toc100325017"/>
      <w:bookmarkStart w:id="70" w:name="_Toc109984711"/>
      <w:r w:rsidRPr="00223913">
        <w:t>2.2.1</w:t>
      </w:r>
      <w:r w:rsidR="00351C35">
        <w:tab/>
      </w:r>
      <w:r w:rsidRPr="00223913">
        <w:t>Production of the enzyme</w:t>
      </w:r>
      <w:bookmarkEnd w:id="63"/>
      <w:bookmarkEnd w:id="64"/>
      <w:bookmarkEnd w:id="65"/>
      <w:bookmarkEnd w:id="66"/>
      <w:bookmarkEnd w:id="67"/>
      <w:bookmarkEnd w:id="68"/>
      <w:bookmarkEnd w:id="69"/>
      <w:bookmarkEnd w:id="70"/>
    </w:p>
    <w:p w14:paraId="61F7870C" w14:textId="5DCD5F89" w:rsidR="00A317D4" w:rsidRPr="00A317D4" w:rsidRDefault="3473B5E0" w:rsidP="00136983">
      <w:pPr>
        <w:spacing w:after="240"/>
        <w:rPr>
          <w:lang w:eastAsia="en-AU" w:bidi="ar-SA"/>
        </w:rPr>
      </w:pPr>
      <w:r w:rsidRPr="3EBADA22">
        <w:rPr>
          <w:rFonts w:eastAsia="Arial" w:cs="Arial"/>
          <w:color w:val="000000" w:themeColor="text1"/>
        </w:rPr>
        <w:t>Details on the raw materials and ingredients used in the production of the glucoamylase enzyme preparation were provided i</w:t>
      </w:r>
      <w:r w:rsidR="6D08A1BC" w:rsidRPr="3EBADA22">
        <w:rPr>
          <w:rFonts w:eastAsia="Arial" w:cs="Arial"/>
          <w:color w:val="000000" w:themeColor="text1"/>
        </w:rPr>
        <w:t xml:space="preserve">n the application or as </w:t>
      </w:r>
      <w:r w:rsidR="55FD0ED6" w:rsidRPr="3EBADA22">
        <w:rPr>
          <w:rFonts w:eastAsia="Arial" w:cs="Arial"/>
          <w:color w:val="000000" w:themeColor="text1"/>
        </w:rPr>
        <w:t>Commercial in Confidence (</w:t>
      </w:r>
      <w:r w:rsidRPr="3EBADA22">
        <w:rPr>
          <w:rFonts w:eastAsia="Arial" w:cs="Arial"/>
          <w:color w:val="000000" w:themeColor="text1"/>
        </w:rPr>
        <w:t>CCI</w:t>
      </w:r>
      <w:r w:rsidR="55FD0ED6" w:rsidRPr="3EBADA22">
        <w:rPr>
          <w:rFonts w:eastAsia="Arial" w:cs="Arial"/>
          <w:color w:val="000000" w:themeColor="text1"/>
        </w:rPr>
        <w:t>)</w:t>
      </w:r>
      <w:r w:rsidRPr="3EBADA22">
        <w:rPr>
          <w:rFonts w:eastAsia="Arial" w:cs="Arial"/>
          <w:color w:val="000000" w:themeColor="text1"/>
        </w:rPr>
        <w:t>.</w:t>
      </w:r>
    </w:p>
    <w:p w14:paraId="7A9C482D" w14:textId="03613987" w:rsidR="006F2E0D" w:rsidRDefault="006F2E0D" w:rsidP="00136983">
      <w:pPr>
        <w:spacing w:after="240"/>
      </w:pPr>
      <w:r>
        <w:rPr>
          <w:lang w:eastAsia="en-AU" w:bidi="ar-SA"/>
        </w:rPr>
        <w:t xml:space="preserve">The enzyme is produced by submerged fermentation of the </w:t>
      </w:r>
      <w:r>
        <w:rPr>
          <w:i/>
          <w:lang w:eastAsia="en-AU" w:bidi="ar-SA"/>
        </w:rPr>
        <w:t>A</w:t>
      </w:r>
      <w:r w:rsidR="0071275C" w:rsidRPr="004065AA">
        <w:rPr>
          <w:lang w:eastAsia="en-AU" w:bidi="ar-SA"/>
        </w:rPr>
        <w:t>.</w:t>
      </w:r>
      <w:r w:rsidRPr="004065AA">
        <w:rPr>
          <w:lang w:eastAsia="en-AU" w:bidi="ar-SA"/>
        </w:rPr>
        <w:t xml:space="preserve"> </w:t>
      </w:r>
      <w:r w:rsidR="00793E85">
        <w:rPr>
          <w:i/>
          <w:lang w:eastAsia="en-AU" w:bidi="ar-SA"/>
        </w:rPr>
        <w:t>niger</w:t>
      </w:r>
      <w:r>
        <w:rPr>
          <w:i/>
          <w:lang w:eastAsia="en-AU" w:bidi="ar-SA"/>
        </w:rPr>
        <w:t xml:space="preserve">, </w:t>
      </w:r>
      <w:r w:rsidR="00793E85">
        <w:rPr>
          <w:lang w:eastAsia="en-AU" w:bidi="ar-SA"/>
        </w:rPr>
        <w:t>carrying the glucoamylase</w:t>
      </w:r>
      <w:r>
        <w:rPr>
          <w:lang w:eastAsia="en-AU" w:bidi="ar-SA"/>
        </w:rPr>
        <w:t xml:space="preserve"> gene from </w:t>
      </w:r>
      <w:r w:rsidR="00793E85">
        <w:rPr>
          <w:i/>
          <w:lang w:eastAsia="en-AU" w:bidi="ar-SA"/>
        </w:rPr>
        <w:t>P. oxalicum</w:t>
      </w:r>
      <w:r>
        <w:rPr>
          <w:i/>
          <w:lang w:eastAsia="en-AU" w:bidi="ar-SA"/>
        </w:rPr>
        <w:t xml:space="preserve">. </w:t>
      </w:r>
      <w:r w:rsidRPr="00973DF7">
        <w:rPr>
          <w:lang w:eastAsia="en-AU" w:bidi="ar-SA"/>
        </w:rPr>
        <w:t xml:space="preserve">The </w:t>
      </w:r>
      <w:r>
        <w:rPr>
          <w:lang w:eastAsia="en-AU" w:bidi="ar-SA"/>
        </w:rPr>
        <w:t>fermentation</w:t>
      </w:r>
      <w:r w:rsidRPr="00973DF7">
        <w:rPr>
          <w:lang w:eastAsia="en-AU" w:bidi="ar-SA"/>
        </w:rPr>
        <w:t xml:space="preserve"> processes</w:t>
      </w:r>
      <w:r w:rsidR="0071275C">
        <w:rPr>
          <w:lang w:eastAsia="en-AU" w:bidi="ar-SA"/>
        </w:rPr>
        <w:t xml:space="preserve"> </w:t>
      </w:r>
      <w:r w:rsidRPr="00973DF7">
        <w:rPr>
          <w:lang w:eastAsia="en-AU" w:bidi="ar-SA"/>
        </w:rPr>
        <w:t xml:space="preserve">are consistent with the scientific literature and references provided by </w:t>
      </w:r>
      <w:r>
        <w:rPr>
          <w:lang w:eastAsia="en-AU" w:bidi="ar-SA"/>
        </w:rPr>
        <w:t>Novozymes (</w:t>
      </w:r>
      <w:proofErr w:type="spellStart"/>
      <w:r>
        <w:rPr>
          <w:lang w:eastAsia="en-AU" w:bidi="ar-SA"/>
        </w:rPr>
        <w:t>Aunstrup</w:t>
      </w:r>
      <w:proofErr w:type="spellEnd"/>
      <w:r>
        <w:rPr>
          <w:lang w:eastAsia="en-AU" w:bidi="ar-SA"/>
        </w:rPr>
        <w:t xml:space="preserve"> 1979)</w:t>
      </w:r>
      <w:r w:rsidRPr="00973DF7">
        <w:rPr>
          <w:lang w:eastAsia="en-AU" w:bidi="ar-SA"/>
        </w:rPr>
        <w:t>.</w:t>
      </w:r>
      <w:r w:rsidR="006B08D1">
        <w:rPr>
          <w:lang w:eastAsia="en-AU" w:bidi="ar-SA"/>
        </w:rPr>
        <w:t xml:space="preserve"> All preparations are completed aseptically in accordance with Good Manufacturing Practices (GMP). </w:t>
      </w:r>
      <w:r w:rsidR="00B96FB9">
        <w:rPr>
          <w:lang w:eastAsia="en-AU" w:bidi="ar-SA"/>
        </w:rPr>
        <w:t>Novozymes has</w:t>
      </w:r>
      <w:r w:rsidR="006B08D1" w:rsidRPr="001A61E7">
        <w:rPr>
          <w:lang w:eastAsia="en-AU" w:bidi="ar-SA"/>
        </w:rPr>
        <w:t xml:space="preserve"> provided certificates fo</w:t>
      </w:r>
      <w:r w:rsidR="004331DF" w:rsidRPr="001A61E7">
        <w:rPr>
          <w:lang w:eastAsia="en-AU" w:bidi="ar-SA"/>
        </w:rPr>
        <w:t xml:space="preserve">r compliance with ISO </w:t>
      </w:r>
      <w:r w:rsidR="001A61E7">
        <w:rPr>
          <w:lang w:eastAsia="en-AU" w:bidi="ar-SA"/>
        </w:rPr>
        <w:t>9001:2015.</w:t>
      </w:r>
    </w:p>
    <w:p w14:paraId="518FED98" w14:textId="3F96F3E7" w:rsidR="18325358" w:rsidRDefault="18325358" w:rsidP="00136983">
      <w:pPr>
        <w:spacing w:after="240"/>
        <w:rPr>
          <w:rFonts w:eastAsia="Arial" w:cs="Arial"/>
          <w:color w:val="000000" w:themeColor="text1"/>
          <w:szCs w:val="22"/>
        </w:rPr>
      </w:pPr>
      <w:r w:rsidRPr="69651128">
        <w:rPr>
          <w:rFonts w:eastAsia="Arial" w:cs="Arial"/>
          <w:color w:val="000000" w:themeColor="text1"/>
        </w:rPr>
        <w:t xml:space="preserve">The fermentation process starts with the preparation of the medium including carbon, nitrogen, vitamins and minerals. The pH is </w:t>
      </w:r>
      <w:bookmarkStart w:id="71" w:name="_Int_bIcQuzEX"/>
      <w:r w:rsidRPr="69651128">
        <w:rPr>
          <w:rFonts w:eastAsia="Arial" w:cs="Arial"/>
          <w:color w:val="000000" w:themeColor="text1"/>
        </w:rPr>
        <w:t>adjusted</w:t>
      </w:r>
      <w:bookmarkEnd w:id="71"/>
      <w:r w:rsidRPr="69651128">
        <w:rPr>
          <w:rFonts w:eastAsia="Arial" w:cs="Arial"/>
          <w:color w:val="000000" w:themeColor="text1"/>
        </w:rPr>
        <w:t xml:space="preserve"> and additional processing aids are used as antifoaming agents. This is then followed by inoculum, seed fermentation, main fermentation and the recovery stage to separate the enzyme from the biomass and to purify, concentrate and stabilize it. Ultrafiltration and/or evaporation are used for additional concentration and purification. The final enzyme preparation will depend on the intended use, for example, remain as a single enzyme preparation or be blended with other enzymes to form a granulate.</w:t>
      </w:r>
    </w:p>
    <w:p w14:paraId="57C33F2D" w14:textId="53BC5C92" w:rsidR="00A317D4" w:rsidRDefault="00A270DC" w:rsidP="3F6E6AE9">
      <w:pPr>
        <w:spacing w:after="240"/>
        <w:rPr>
          <w:rFonts w:eastAsia="Arial" w:cs="Arial"/>
          <w:color w:val="000000" w:themeColor="text1"/>
        </w:rPr>
      </w:pPr>
      <w:r>
        <w:t>Appropriate quality control processes are in place to prevent any contamination during the fermentation process.</w:t>
      </w:r>
      <w:r w:rsidRPr="3F6E6AE9" w:rsidDel="00A270DC">
        <w:rPr>
          <w:rFonts w:eastAsia="Arial" w:cs="Arial"/>
          <w:color w:val="000000" w:themeColor="text1"/>
        </w:rPr>
        <w:t xml:space="preserve"> </w:t>
      </w:r>
      <w:r w:rsidR="18325358" w:rsidRPr="3F6E6AE9">
        <w:rPr>
          <w:rFonts w:eastAsia="Arial" w:cs="Arial"/>
          <w:color w:val="000000" w:themeColor="text1"/>
        </w:rPr>
        <w:t>The application states that all raw materials used in the fermentation and recovery processes are standard ingredients of food grade quality that meet predefined quality standards. The raw materials conform to either specifications set out in the Food Chemical Codex, 12</w:t>
      </w:r>
      <w:r w:rsidR="18325358" w:rsidRPr="3F6E6AE9">
        <w:rPr>
          <w:rFonts w:eastAsia="Arial" w:cs="Arial"/>
          <w:color w:val="000000" w:themeColor="text1"/>
          <w:vertAlign w:val="superscript"/>
        </w:rPr>
        <w:t>th</w:t>
      </w:r>
      <w:r w:rsidR="18325358" w:rsidRPr="3F6E6AE9">
        <w:rPr>
          <w:rFonts w:eastAsia="Arial" w:cs="Arial"/>
          <w:color w:val="000000" w:themeColor="text1"/>
        </w:rPr>
        <w:t xml:space="preserve"> edition, 2020 or regulations applying in the European Union. </w:t>
      </w:r>
      <w:r w:rsidR="00A26124" w:rsidRPr="3F6E6AE9">
        <w:rPr>
          <w:rFonts w:eastAsia="Arial" w:cs="Arial"/>
          <w:color w:val="000000" w:themeColor="text1"/>
        </w:rPr>
        <w:t>The ingredient list of raw materials has been sighted and althou</w:t>
      </w:r>
      <w:r w:rsidR="00A317D4" w:rsidRPr="3F6E6AE9">
        <w:rPr>
          <w:rFonts w:eastAsia="Arial" w:cs="Arial"/>
          <w:color w:val="000000" w:themeColor="text1"/>
        </w:rPr>
        <w:t>gh the information has been provided as</w:t>
      </w:r>
      <w:r w:rsidR="009D2746" w:rsidRPr="3F6E6AE9">
        <w:rPr>
          <w:rFonts w:eastAsia="Arial" w:cs="Arial"/>
          <w:color w:val="000000" w:themeColor="text1"/>
        </w:rPr>
        <w:t xml:space="preserve"> </w:t>
      </w:r>
      <w:r w:rsidR="00051D57" w:rsidRPr="3F6E6AE9">
        <w:rPr>
          <w:rFonts w:eastAsia="Arial" w:cs="Arial"/>
          <w:color w:val="000000" w:themeColor="text1"/>
        </w:rPr>
        <w:t>CCI</w:t>
      </w:r>
      <w:r w:rsidR="00A26124" w:rsidRPr="3F6E6AE9">
        <w:rPr>
          <w:rFonts w:eastAsia="Arial" w:cs="Arial"/>
          <w:color w:val="000000" w:themeColor="text1"/>
        </w:rPr>
        <w:t xml:space="preserve">, the list has been confirmed as being permitted by the Code. </w:t>
      </w:r>
    </w:p>
    <w:p w14:paraId="5FA67D3E" w14:textId="526A221C" w:rsidR="18325358" w:rsidRDefault="799C8441" w:rsidP="3F6E6AE9">
      <w:pPr>
        <w:rPr>
          <w:rFonts w:eastAsia="Arial" w:cs="Arial"/>
          <w:color w:val="000000" w:themeColor="text1"/>
        </w:rPr>
      </w:pPr>
      <w:r w:rsidRPr="3EBADA22">
        <w:rPr>
          <w:rFonts w:eastAsia="Arial" w:cs="Arial"/>
          <w:color w:val="000000" w:themeColor="text1"/>
        </w:rPr>
        <w:t xml:space="preserve">The applicant has advised that wheat flour is used for </w:t>
      </w:r>
      <w:r w:rsidR="5FA8859C" w:rsidRPr="3EBADA22">
        <w:rPr>
          <w:rFonts w:eastAsia="Arial" w:cs="Arial"/>
          <w:color w:val="000000" w:themeColor="text1"/>
        </w:rPr>
        <w:t xml:space="preserve">the </w:t>
      </w:r>
      <w:r w:rsidRPr="3EBADA22">
        <w:rPr>
          <w:rFonts w:eastAsia="Arial" w:cs="Arial"/>
          <w:color w:val="000000" w:themeColor="text1"/>
        </w:rPr>
        <w:t>carrier and has confirmed that wheat protein is present in the final enzyme preparation</w:t>
      </w:r>
      <w:r w:rsidRPr="3EBADA22">
        <w:rPr>
          <w:rFonts w:eastAsia="Arial" w:cs="Arial"/>
          <w:color w:val="000000" w:themeColor="text1"/>
          <w:vertAlign w:val="superscript"/>
        </w:rPr>
        <w:t>3</w:t>
      </w:r>
      <w:r w:rsidRPr="3EBADA22">
        <w:rPr>
          <w:rFonts w:eastAsia="Arial" w:cs="Arial"/>
          <w:color w:val="000000" w:themeColor="text1"/>
        </w:rPr>
        <w:t>. This only applies to the granulate</w:t>
      </w:r>
      <w:r w:rsidR="2ED64852" w:rsidRPr="3EBADA22">
        <w:rPr>
          <w:rFonts w:eastAsia="Arial" w:cs="Arial"/>
          <w:color w:val="000000" w:themeColor="text1"/>
        </w:rPr>
        <w:t>d</w:t>
      </w:r>
      <w:r w:rsidRPr="3EBADA22">
        <w:rPr>
          <w:rFonts w:eastAsia="Arial" w:cs="Arial"/>
          <w:color w:val="000000" w:themeColor="text1"/>
        </w:rPr>
        <w:t xml:space="preserve"> preparation which is used in baking processes. The Product Data Sheet lists the presence of cereals containing gluten (i.e. wheat, rye, barley, oats spelt, </w:t>
      </w:r>
      <w:proofErr w:type="spellStart"/>
      <w:r w:rsidRPr="3EBADA22">
        <w:rPr>
          <w:rFonts w:eastAsia="Arial" w:cs="Arial"/>
          <w:color w:val="000000" w:themeColor="text1"/>
        </w:rPr>
        <w:t>kamut</w:t>
      </w:r>
      <w:proofErr w:type="spellEnd"/>
      <w:r w:rsidRPr="3EBADA22">
        <w:rPr>
          <w:rFonts w:eastAsia="Arial" w:cs="Arial"/>
          <w:color w:val="000000" w:themeColor="text1"/>
        </w:rPr>
        <w:t xml:space="preserve">). It is worth noting that the enzyme will be used in bakery products largely containing wheat. Section 3.3.4 provides </w:t>
      </w:r>
      <w:r w:rsidRPr="3EBADA22">
        <w:rPr>
          <w:rFonts w:eastAsia="Arial" w:cs="Arial"/>
          <w:color w:val="000000" w:themeColor="text1"/>
        </w:rPr>
        <w:lastRenderedPageBreak/>
        <w:t xml:space="preserve">more information on the allergenicity associated with the enzyme and is further discussed in Section 2.2.3 of the Call for Submissions document. </w:t>
      </w:r>
    </w:p>
    <w:p w14:paraId="237D81B3" w14:textId="2E012961" w:rsidR="00700578" w:rsidRDefault="00700578" w:rsidP="00326C8D">
      <w:pPr>
        <w:pStyle w:val="Heading3"/>
        <w:ind w:left="0" w:firstLine="0"/>
      </w:pPr>
      <w:bookmarkStart w:id="72" w:name="_Toc90553179"/>
      <w:bookmarkStart w:id="73" w:name="_Toc90641272"/>
      <w:bookmarkStart w:id="74" w:name="_Toc90649535"/>
      <w:bookmarkStart w:id="75" w:name="_Toc90983303"/>
      <w:bookmarkStart w:id="76" w:name="_Toc94530985"/>
      <w:bookmarkStart w:id="77" w:name="_Toc100321333"/>
      <w:bookmarkStart w:id="78" w:name="_Toc100325018"/>
      <w:bookmarkStart w:id="79" w:name="_Toc109984712"/>
      <w:r>
        <w:t>2.2.</w:t>
      </w:r>
      <w:r w:rsidR="00716E96">
        <w:t>2</w:t>
      </w:r>
      <w:r w:rsidR="00351C35">
        <w:tab/>
      </w:r>
      <w:r>
        <w:t>Specifications</w:t>
      </w:r>
      <w:bookmarkEnd w:id="72"/>
      <w:bookmarkEnd w:id="73"/>
      <w:bookmarkEnd w:id="74"/>
      <w:bookmarkEnd w:id="75"/>
      <w:bookmarkEnd w:id="76"/>
      <w:bookmarkEnd w:id="77"/>
      <w:bookmarkEnd w:id="78"/>
      <w:bookmarkEnd w:id="79"/>
    </w:p>
    <w:p w14:paraId="1646B80E" w14:textId="303EF8BB" w:rsidR="008B2681" w:rsidRPr="000D2331" w:rsidRDefault="004B05DC" w:rsidP="00136983">
      <w:pPr>
        <w:spacing w:after="240"/>
      </w:pPr>
      <w:r>
        <w:rPr>
          <w:lang w:eastAsia="en-AU" w:bidi="ar-SA"/>
        </w:rPr>
        <w:t xml:space="preserve">There are international specifications for enzyme preparations used in the production of food. </w:t>
      </w:r>
      <w:r w:rsidR="00145622">
        <w:rPr>
          <w:rStyle w:val="normaltextrun"/>
          <w:color w:val="000000"/>
          <w:shd w:val="clear" w:color="auto" w:fill="FFFFFF"/>
        </w:rPr>
        <w:t>These have been established by the Joint FAO/WHO Expert Committee on Food Additives (JECFA, 2017) and the Food Chemicals Codex (FCC) (USPC, 2018). These specifications are included in the primary sources listed in section</w:t>
      </w:r>
      <w:r>
        <w:rPr>
          <w:lang w:eastAsia="en-AU" w:bidi="ar-SA"/>
        </w:rPr>
        <w:t xml:space="preserve"> S3—2 of Schedule 3 of the Code and enzymes used as a processing aid must meet either of these specifications. Schedule 3 of the Code also includes specifications for arsenic and</w:t>
      </w:r>
      <w:r w:rsidR="00A270DC">
        <w:rPr>
          <w:lang w:eastAsia="en-AU" w:bidi="ar-SA"/>
        </w:rPr>
        <w:t xml:space="preserve"> </w:t>
      </w:r>
      <w:r>
        <w:rPr>
          <w:lang w:eastAsia="en-AU" w:bidi="ar-SA"/>
        </w:rPr>
        <w:t>metals (section S3—4) if they are not already detailed within specifications in sections S3—2 or S3—3.</w:t>
      </w:r>
    </w:p>
    <w:p w14:paraId="0661C0D0" w14:textId="6A598F33" w:rsidR="0092001D" w:rsidRDefault="00E21A44" w:rsidP="00136983">
      <w:pPr>
        <w:spacing w:after="240"/>
        <w:rPr>
          <w:lang w:eastAsia="en-AU" w:bidi="ar-SA"/>
        </w:rPr>
      </w:pPr>
      <w:r w:rsidRPr="69651128">
        <w:rPr>
          <w:lang w:eastAsia="en-AU" w:bidi="ar-SA"/>
        </w:rPr>
        <w:t>Table 1 provides a comparison of the analysis of th</w:t>
      </w:r>
      <w:r w:rsidR="00793E85" w:rsidRPr="69651128">
        <w:rPr>
          <w:lang w:eastAsia="en-AU" w:bidi="ar-SA"/>
        </w:rPr>
        <w:t>ree batches of the glucoamylase</w:t>
      </w:r>
      <w:r w:rsidRPr="69651128">
        <w:rPr>
          <w:lang w:eastAsia="en-AU" w:bidi="ar-SA"/>
        </w:rPr>
        <w:t xml:space="preserve"> enzyme with international specifications established by JECFA and Food Chemicals Codex, as well as those in the Code (as applicable).</w:t>
      </w:r>
      <w:r w:rsidR="00973D92" w:rsidRPr="69651128">
        <w:rPr>
          <w:lang w:eastAsia="en-AU" w:bidi="ar-SA"/>
        </w:rPr>
        <w:t xml:space="preserve"> </w:t>
      </w:r>
      <w:r w:rsidR="0092001D" w:rsidRPr="69651128">
        <w:rPr>
          <w:lang w:eastAsia="en-AU" w:bidi="ar-SA"/>
        </w:rPr>
        <w:t>Based on these results, the enzyme meets all relevant specifications.</w:t>
      </w:r>
      <w:r w:rsidR="00B11A97" w:rsidRPr="69651128">
        <w:rPr>
          <w:lang w:eastAsia="en-AU" w:bidi="ar-SA"/>
        </w:rPr>
        <w:t xml:space="preserve"> Certificates of analysis have been provided</w:t>
      </w:r>
      <w:r w:rsidR="00275710" w:rsidRPr="69651128">
        <w:rPr>
          <w:lang w:eastAsia="en-AU" w:bidi="ar-SA"/>
        </w:rPr>
        <w:t xml:space="preserve"> which confirm the results below. </w:t>
      </w:r>
    </w:p>
    <w:p w14:paraId="43E08276" w14:textId="0A44B956" w:rsidR="00700578" w:rsidRDefault="00700578" w:rsidP="69651128">
      <w:pPr>
        <w:pStyle w:val="FSTableTitle"/>
        <w:keepNext/>
        <w:keepLines/>
        <w:spacing w:after="240"/>
        <w:ind w:left="1134" w:hanging="1134"/>
        <w:rPr>
          <w:b w:val="0"/>
          <w:i/>
          <w:iCs/>
        </w:rPr>
      </w:pPr>
      <w:r w:rsidRPr="69651128">
        <w:rPr>
          <w:i/>
          <w:iCs/>
        </w:rPr>
        <w:t>Table 1</w:t>
      </w:r>
      <w:r>
        <w:tab/>
      </w:r>
      <w:r w:rsidRPr="69651128">
        <w:rPr>
          <w:b w:val="0"/>
          <w:i/>
          <w:iCs/>
        </w:rPr>
        <w:t xml:space="preserve">Analysis of enzyme </w:t>
      </w:r>
      <w:r w:rsidR="00793E85" w:rsidRPr="69651128">
        <w:rPr>
          <w:b w:val="0"/>
          <w:i/>
          <w:iCs/>
        </w:rPr>
        <w:t>glucoamylase</w:t>
      </w:r>
      <w:r w:rsidRPr="69651128">
        <w:rPr>
          <w:b w:val="0"/>
          <w:i/>
          <w:iCs/>
        </w:rPr>
        <w:t xml:space="preserve"> compared to JECFA, Food Chemicals Codex, and Code specifications for enzymes (</w:t>
      </w:r>
      <w:r w:rsidR="00875687" w:rsidRPr="69651128">
        <w:rPr>
          <w:b w:val="0"/>
          <w:i/>
          <w:iCs/>
        </w:rPr>
        <w:t>three</w:t>
      </w:r>
      <w:r w:rsidRPr="69651128">
        <w:rPr>
          <w:b w:val="0"/>
          <w:i/>
          <w:iCs/>
        </w:rPr>
        <w:t xml:space="preserve"> batch</w:t>
      </w:r>
      <w:r w:rsidR="00875687" w:rsidRPr="69651128">
        <w:rPr>
          <w:b w:val="0"/>
          <w:i/>
          <w:iCs/>
        </w:rPr>
        <w:t>es</w:t>
      </w:r>
      <w:r w:rsidRPr="69651128">
        <w:rPr>
          <w:b w:val="0"/>
          <w:i/>
          <w:iCs/>
        </w:rPr>
        <w:t xml:space="preserve">) </w:t>
      </w:r>
    </w:p>
    <w:tbl>
      <w:tblPr>
        <w:tblStyle w:val="ListTable4"/>
        <w:tblW w:w="0" w:type="auto"/>
        <w:tblLook w:val="04A0" w:firstRow="1" w:lastRow="0" w:firstColumn="1" w:lastColumn="0" w:noHBand="0" w:noVBand="1"/>
        <w:tblCaption w:val="Analytical results from applicant"/>
        <w:tblDescription w:val="Analysis of enzyme phospholipase A1 compared to JECFA, Food Chemicals Codex, and Code specifications for enzymes (three batches) "/>
      </w:tblPr>
      <w:tblGrid>
        <w:gridCol w:w="2122"/>
        <w:gridCol w:w="1502"/>
        <w:gridCol w:w="1812"/>
        <w:gridCol w:w="1812"/>
        <w:gridCol w:w="1812"/>
      </w:tblGrid>
      <w:tr w:rsidR="00726B8B" w14:paraId="72AA386E" w14:textId="77777777" w:rsidTr="007474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7F7F7F" w:themeFill="text1" w:themeFillTint="80"/>
          </w:tcPr>
          <w:p w14:paraId="7D66BF92" w14:textId="302A3D5B" w:rsidR="00726B8B" w:rsidRDefault="00726B8B" w:rsidP="00726B8B">
            <w:r>
              <w:t>Analysis</w:t>
            </w:r>
          </w:p>
        </w:tc>
        <w:tc>
          <w:tcPr>
            <w:tcW w:w="1502" w:type="dxa"/>
            <w:shd w:val="clear" w:color="auto" w:fill="7F7F7F" w:themeFill="text1" w:themeFillTint="80"/>
          </w:tcPr>
          <w:p w14:paraId="69D037BA" w14:textId="6A777C7B" w:rsidR="00726B8B" w:rsidRDefault="00726B8B" w:rsidP="00726B8B">
            <w:pPr>
              <w:cnfStyle w:val="100000000000" w:firstRow="1" w:lastRow="0" w:firstColumn="0" w:lastColumn="0" w:oddVBand="0" w:evenVBand="0" w:oddHBand="0" w:evenHBand="0" w:firstRowFirstColumn="0" w:firstRowLastColumn="0" w:lastRowFirstColumn="0" w:lastRowLastColumn="0"/>
            </w:pPr>
            <w:r>
              <w:t>Results from Applicant</w:t>
            </w:r>
          </w:p>
        </w:tc>
        <w:tc>
          <w:tcPr>
            <w:tcW w:w="1812" w:type="dxa"/>
            <w:shd w:val="clear" w:color="auto" w:fill="7F7F7F" w:themeFill="text1" w:themeFillTint="80"/>
          </w:tcPr>
          <w:p w14:paraId="73F6C5CA" w14:textId="75AE6CEF" w:rsidR="00726B8B" w:rsidRDefault="00726B8B" w:rsidP="00726B8B">
            <w:pPr>
              <w:cnfStyle w:val="100000000000" w:firstRow="1" w:lastRow="0" w:firstColumn="0" w:lastColumn="0" w:oddVBand="0" w:evenVBand="0" w:oddHBand="0" w:evenHBand="0" w:firstRowFirstColumn="0" w:firstRowLastColumn="0" w:lastRowFirstColumn="0" w:lastRowLastColumn="0"/>
            </w:pPr>
            <w:r>
              <w:t>JECFA</w:t>
            </w:r>
          </w:p>
        </w:tc>
        <w:tc>
          <w:tcPr>
            <w:tcW w:w="1812" w:type="dxa"/>
            <w:shd w:val="clear" w:color="auto" w:fill="7F7F7F" w:themeFill="text1" w:themeFillTint="80"/>
          </w:tcPr>
          <w:p w14:paraId="5D0ED3D0" w14:textId="75186F42" w:rsidR="00726B8B" w:rsidRDefault="00726B8B" w:rsidP="00726B8B">
            <w:pPr>
              <w:cnfStyle w:val="100000000000" w:firstRow="1" w:lastRow="0" w:firstColumn="0" w:lastColumn="0" w:oddVBand="0" w:evenVBand="0" w:oddHBand="0" w:evenHBand="0" w:firstRowFirstColumn="0" w:firstRowLastColumn="0" w:lastRowFirstColumn="0" w:lastRowLastColumn="0"/>
            </w:pPr>
            <w:r>
              <w:t>Food Chemicals Codex</w:t>
            </w:r>
          </w:p>
        </w:tc>
        <w:tc>
          <w:tcPr>
            <w:tcW w:w="1812" w:type="dxa"/>
            <w:shd w:val="clear" w:color="auto" w:fill="7F7F7F" w:themeFill="text1" w:themeFillTint="80"/>
          </w:tcPr>
          <w:p w14:paraId="1CE0AF1A" w14:textId="0EC6A6DA" w:rsidR="00726B8B" w:rsidRDefault="00726B8B" w:rsidP="00726B8B">
            <w:pPr>
              <w:cnfStyle w:val="100000000000" w:firstRow="1" w:lastRow="0" w:firstColumn="0" w:lastColumn="0" w:oddVBand="0" w:evenVBand="0" w:oddHBand="0" w:evenHBand="0" w:firstRowFirstColumn="0" w:firstRowLastColumn="0" w:lastRowFirstColumn="0" w:lastRowLastColumn="0"/>
            </w:pPr>
            <w:r>
              <w:t>Australia New Zealand Food Standards Code (section S3-4)</w:t>
            </w:r>
          </w:p>
        </w:tc>
      </w:tr>
      <w:tr w:rsidR="00726B8B" w14:paraId="54EA2353" w14:textId="77777777" w:rsidTr="0016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743D8D0" w14:textId="1BEDD079" w:rsidR="00726B8B" w:rsidRPr="00EC29B0" w:rsidRDefault="00726B8B" w:rsidP="00726B8B">
            <w:pPr>
              <w:rPr>
                <w:sz w:val="20"/>
                <w:szCs w:val="20"/>
              </w:rPr>
            </w:pPr>
            <w:r w:rsidRPr="00EC29B0">
              <w:rPr>
                <w:b w:val="0"/>
                <w:sz w:val="20"/>
                <w:szCs w:val="20"/>
              </w:rPr>
              <w:t>Lead (mg/kg)</w:t>
            </w:r>
          </w:p>
        </w:tc>
        <w:tc>
          <w:tcPr>
            <w:tcW w:w="1502" w:type="dxa"/>
          </w:tcPr>
          <w:p w14:paraId="50E158FC" w14:textId="683F94B9" w:rsidR="00726B8B" w:rsidRPr="00EC29B0" w:rsidRDefault="0065531B" w:rsidP="00726B8B">
            <w:pP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ND</w:t>
            </w:r>
          </w:p>
        </w:tc>
        <w:tc>
          <w:tcPr>
            <w:tcW w:w="1812" w:type="dxa"/>
          </w:tcPr>
          <w:p w14:paraId="701FA8F1" w14:textId="7D65BE62"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 5</w:t>
            </w:r>
          </w:p>
        </w:tc>
        <w:tc>
          <w:tcPr>
            <w:tcW w:w="1812" w:type="dxa"/>
          </w:tcPr>
          <w:p w14:paraId="09A106E3" w14:textId="795331F4"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 5</w:t>
            </w:r>
          </w:p>
        </w:tc>
        <w:tc>
          <w:tcPr>
            <w:tcW w:w="1812" w:type="dxa"/>
          </w:tcPr>
          <w:p w14:paraId="0191E425" w14:textId="45B3FE53"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≤2</w:t>
            </w:r>
          </w:p>
        </w:tc>
      </w:tr>
      <w:tr w:rsidR="00726B8B" w14:paraId="7F05EA79" w14:textId="77777777" w:rsidTr="001655B4">
        <w:tc>
          <w:tcPr>
            <w:cnfStyle w:val="001000000000" w:firstRow="0" w:lastRow="0" w:firstColumn="1" w:lastColumn="0" w:oddVBand="0" w:evenVBand="0" w:oddHBand="0" w:evenHBand="0" w:firstRowFirstColumn="0" w:firstRowLastColumn="0" w:lastRowFirstColumn="0" w:lastRowLastColumn="0"/>
            <w:tcW w:w="2122" w:type="dxa"/>
          </w:tcPr>
          <w:p w14:paraId="355A16B9" w14:textId="0D635FBE" w:rsidR="00726B8B" w:rsidRPr="00EC29B0" w:rsidRDefault="00726B8B" w:rsidP="00726B8B">
            <w:pPr>
              <w:rPr>
                <w:sz w:val="20"/>
                <w:szCs w:val="20"/>
              </w:rPr>
            </w:pPr>
            <w:r w:rsidRPr="00EC29B0">
              <w:rPr>
                <w:b w:val="0"/>
                <w:sz w:val="20"/>
                <w:szCs w:val="20"/>
              </w:rPr>
              <w:t>Arsenic (mg/kg)</w:t>
            </w:r>
          </w:p>
        </w:tc>
        <w:tc>
          <w:tcPr>
            <w:tcW w:w="1502" w:type="dxa"/>
          </w:tcPr>
          <w:p w14:paraId="5C2687E7" w14:textId="40B7CA4D" w:rsidR="00726B8B" w:rsidRPr="00EC29B0" w:rsidRDefault="0065531B" w:rsidP="00726B8B">
            <w:pP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ND</w:t>
            </w:r>
          </w:p>
        </w:tc>
        <w:tc>
          <w:tcPr>
            <w:tcW w:w="1812" w:type="dxa"/>
          </w:tcPr>
          <w:p w14:paraId="4D389ACF" w14:textId="4345ABFD"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c>
          <w:tcPr>
            <w:tcW w:w="1812" w:type="dxa"/>
          </w:tcPr>
          <w:p w14:paraId="0F97D4A3" w14:textId="07B0456C"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c>
          <w:tcPr>
            <w:tcW w:w="1812" w:type="dxa"/>
          </w:tcPr>
          <w:p w14:paraId="4EC53819" w14:textId="253080A2"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≤1</w:t>
            </w:r>
          </w:p>
        </w:tc>
      </w:tr>
      <w:tr w:rsidR="00726B8B" w14:paraId="48CDA1E1" w14:textId="77777777" w:rsidTr="0016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1012A88" w14:textId="385CAED3" w:rsidR="00726B8B" w:rsidRPr="00EC29B0" w:rsidRDefault="00726B8B" w:rsidP="00726B8B">
            <w:pPr>
              <w:rPr>
                <w:sz w:val="20"/>
                <w:szCs w:val="20"/>
              </w:rPr>
            </w:pPr>
            <w:r w:rsidRPr="00EC29B0">
              <w:rPr>
                <w:b w:val="0"/>
                <w:sz w:val="20"/>
                <w:szCs w:val="20"/>
              </w:rPr>
              <w:t>Cadmium (mg/kg)</w:t>
            </w:r>
          </w:p>
        </w:tc>
        <w:tc>
          <w:tcPr>
            <w:tcW w:w="1502" w:type="dxa"/>
          </w:tcPr>
          <w:p w14:paraId="44C95F93" w14:textId="55B0945D" w:rsidR="00726B8B" w:rsidRPr="00EC29B0" w:rsidRDefault="0065531B" w:rsidP="00726B8B">
            <w:pP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ND</w:t>
            </w:r>
          </w:p>
        </w:tc>
        <w:tc>
          <w:tcPr>
            <w:tcW w:w="1812" w:type="dxa"/>
          </w:tcPr>
          <w:p w14:paraId="7C645EC5" w14:textId="4A2B5AC6"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&lt; 0.5</w:t>
            </w:r>
          </w:p>
        </w:tc>
        <w:tc>
          <w:tcPr>
            <w:tcW w:w="1812" w:type="dxa"/>
          </w:tcPr>
          <w:p w14:paraId="319499A3" w14:textId="1063E361"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w:t>
            </w:r>
          </w:p>
        </w:tc>
        <w:tc>
          <w:tcPr>
            <w:tcW w:w="1812" w:type="dxa"/>
          </w:tcPr>
          <w:p w14:paraId="2CD6D59D" w14:textId="50C38F75"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≤1</w:t>
            </w:r>
          </w:p>
        </w:tc>
      </w:tr>
      <w:tr w:rsidR="00726B8B" w14:paraId="517ADF0F" w14:textId="77777777" w:rsidTr="001655B4">
        <w:tc>
          <w:tcPr>
            <w:cnfStyle w:val="001000000000" w:firstRow="0" w:lastRow="0" w:firstColumn="1" w:lastColumn="0" w:oddVBand="0" w:evenVBand="0" w:oddHBand="0" w:evenHBand="0" w:firstRowFirstColumn="0" w:firstRowLastColumn="0" w:lastRowFirstColumn="0" w:lastRowLastColumn="0"/>
            <w:tcW w:w="2122" w:type="dxa"/>
          </w:tcPr>
          <w:p w14:paraId="13C81746" w14:textId="56ABB456" w:rsidR="00726B8B" w:rsidRPr="00EC29B0" w:rsidRDefault="00726B8B" w:rsidP="00726B8B">
            <w:pPr>
              <w:rPr>
                <w:sz w:val="20"/>
                <w:szCs w:val="20"/>
              </w:rPr>
            </w:pPr>
            <w:r w:rsidRPr="00EC29B0">
              <w:rPr>
                <w:b w:val="0"/>
                <w:sz w:val="20"/>
                <w:szCs w:val="20"/>
              </w:rPr>
              <w:t>Mercury (mg/kg)</w:t>
            </w:r>
          </w:p>
        </w:tc>
        <w:tc>
          <w:tcPr>
            <w:tcW w:w="1502" w:type="dxa"/>
          </w:tcPr>
          <w:p w14:paraId="7E31866F" w14:textId="32DB8DB8" w:rsidR="00726B8B" w:rsidRPr="00EC29B0" w:rsidRDefault="0065531B" w:rsidP="00726B8B">
            <w:pP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ND</w:t>
            </w:r>
          </w:p>
        </w:tc>
        <w:tc>
          <w:tcPr>
            <w:tcW w:w="1812" w:type="dxa"/>
          </w:tcPr>
          <w:p w14:paraId="4CFF3E65" w14:textId="5B7331F0"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&lt; 0.5</w:t>
            </w:r>
          </w:p>
        </w:tc>
        <w:tc>
          <w:tcPr>
            <w:tcW w:w="1812" w:type="dxa"/>
          </w:tcPr>
          <w:p w14:paraId="77097C15" w14:textId="6316BAFB"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c>
          <w:tcPr>
            <w:tcW w:w="1812" w:type="dxa"/>
          </w:tcPr>
          <w:p w14:paraId="41EA3833" w14:textId="796355B7"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≤1</w:t>
            </w:r>
          </w:p>
        </w:tc>
      </w:tr>
      <w:tr w:rsidR="00726B8B" w14:paraId="7E87B98B" w14:textId="77777777" w:rsidTr="0016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1CC16D1" w14:textId="14321F5C" w:rsidR="00726B8B" w:rsidRPr="00EC29B0" w:rsidRDefault="00726B8B" w:rsidP="00726B8B">
            <w:pPr>
              <w:rPr>
                <w:sz w:val="20"/>
                <w:szCs w:val="20"/>
              </w:rPr>
            </w:pPr>
            <w:r w:rsidRPr="00EC29B0">
              <w:rPr>
                <w:b w:val="0"/>
                <w:sz w:val="20"/>
                <w:szCs w:val="20"/>
              </w:rPr>
              <w:t>Coliforms (</w:t>
            </w:r>
            <w:proofErr w:type="spellStart"/>
            <w:r w:rsidRPr="00EC29B0">
              <w:rPr>
                <w:b w:val="0"/>
                <w:sz w:val="20"/>
                <w:szCs w:val="20"/>
              </w:rPr>
              <w:t>cfu</w:t>
            </w:r>
            <w:proofErr w:type="spellEnd"/>
            <w:r w:rsidRPr="00EC29B0">
              <w:rPr>
                <w:b w:val="0"/>
                <w:sz w:val="20"/>
                <w:szCs w:val="20"/>
              </w:rPr>
              <w:t>/g)</w:t>
            </w:r>
          </w:p>
        </w:tc>
        <w:tc>
          <w:tcPr>
            <w:tcW w:w="1502" w:type="dxa"/>
          </w:tcPr>
          <w:p w14:paraId="3D943DFF" w14:textId="0B80FAEA" w:rsidR="00726B8B" w:rsidRPr="00EC29B0" w:rsidRDefault="0065531B" w:rsidP="00726B8B">
            <w:pP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&lt;10</w:t>
            </w:r>
          </w:p>
        </w:tc>
        <w:tc>
          <w:tcPr>
            <w:tcW w:w="1812" w:type="dxa"/>
          </w:tcPr>
          <w:p w14:paraId="7B1B3307" w14:textId="7C464B52"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≤30</w:t>
            </w:r>
          </w:p>
        </w:tc>
        <w:tc>
          <w:tcPr>
            <w:tcW w:w="1812" w:type="dxa"/>
          </w:tcPr>
          <w:p w14:paraId="5D819A1D" w14:textId="7A10189B"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≤30</w:t>
            </w:r>
          </w:p>
        </w:tc>
        <w:tc>
          <w:tcPr>
            <w:tcW w:w="1812" w:type="dxa"/>
          </w:tcPr>
          <w:p w14:paraId="50022D11" w14:textId="72DC41FE"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w:t>
            </w:r>
          </w:p>
        </w:tc>
      </w:tr>
      <w:tr w:rsidR="00726B8B" w14:paraId="2D11FBBB" w14:textId="77777777" w:rsidTr="001655B4">
        <w:tc>
          <w:tcPr>
            <w:cnfStyle w:val="001000000000" w:firstRow="0" w:lastRow="0" w:firstColumn="1" w:lastColumn="0" w:oddVBand="0" w:evenVBand="0" w:oddHBand="0" w:evenHBand="0" w:firstRowFirstColumn="0" w:firstRowLastColumn="0" w:lastRowFirstColumn="0" w:lastRowLastColumn="0"/>
            <w:tcW w:w="2122" w:type="dxa"/>
          </w:tcPr>
          <w:p w14:paraId="37E5F791" w14:textId="61E9D746" w:rsidR="00726B8B" w:rsidRPr="00EC29B0" w:rsidRDefault="00726B8B" w:rsidP="00726B8B">
            <w:pPr>
              <w:rPr>
                <w:sz w:val="20"/>
                <w:szCs w:val="20"/>
              </w:rPr>
            </w:pPr>
            <w:r w:rsidRPr="00EC29B0">
              <w:rPr>
                <w:b w:val="0"/>
                <w:i/>
                <w:sz w:val="20"/>
                <w:szCs w:val="20"/>
              </w:rPr>
              <w:t>Salmonella</w:t>
            </w:r>
            <w:r w:rsidRPr="00EC29B0">
              <w:rPr>
                <w:b w:val="0"/>
                <w:sz w:val="20"/>
                <w:szCs w:val="20"/>
              </w:rPr>
              <w:t xml:space="preserve"> (in 25 g)</w:t>
            </w:r>
          </w:p>
        </w:tc>
        <w:tc>
          <w:tcPr>
            <w:tcW w:w="1502" w:type="dxa"/>
          </w:tcPr>
          <w:p w14:paraId="0C574913" w14:textId="3477CBF3" w:rsidR="00726B8B" w:rsidRPr="00EC29B0" w:rsidRDefault="0065531B" w:rsidP="00726B8B">
            <w:pP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ND</w:t>
            </w:r>
          </w:p>
        </w:tc>
        <w:tc>
          <w:tcPr>
            <w:tcW w:w="1812" w:type="dxa"/>
          </w:tcPr>
          <w:p w14:paraId="0B9B17C0" w14:textId="24D5688B"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Absent</w:t>
            </w:r>
          </w:p>
        </w:tc>
        <w:tc>
          <w:tcPr>
            <w:tcW w:w="1812" w:type="dxa"/>
          </w:tcPr>
          <w:p w14:paraId="57EADCEB" w14:textId="568CE1F3"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Negative</w:t>
            </w:r>
          </w:p>
        </w:tc>
        <w:tc>
          <w:tcPr>
            <w:tcW w:w="1812" w:type="dxa"/>
          </w:tcPr>
          <w:p w14:paraId="6829F7BD" w14:textId="06DC9880"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r>
      <w:tr w:rsidR="00726B8B" w14:paraId="109D011B" w14:textId="77777777" w:rsidTr="0016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F30841" w14:textId="62F483E0" w:rsidR="00726B8B" w:rsidRPr="00EC29B0" w:rsidRDefault="00726B8B" w:rsidP="00726B8B">
            <w:pPr>
              <w:rPr>
                <w:sz w:val="20"/>
                <w:szCs w:val="20"/>
              </w:rPr>
            </w:pPr>
            <w:r w:rsidRPr="00EC29B0">
              <w:rPr>
                <w:b w:val="0"/>
                <w:i/>
                <w:sz w:val="20"/>
                <w:szCs w:val="20"/>
              </w:rPr>
              <w:t xml:space="preserve">E. coli </w:t>
            </w:r>
            <w:r w:rsidRPr="00EC29B0">
              <w:rPr>
                <w:b w:val="0"/>
                <w:sz w:val="20"/>
                <w:szCs w:val="20"/>
              </w:rPr>
              <w:t>(in 25 g)</w:t>
            </w:r>
          </w:p>
        </w:tc>
        <w:tc>
          <w:tcPr>
            <w:tcW w:w="1502" w:type="dxa"/>
          </w:tcPr>
          <w:p w14:paraId="77907EDA" w14:textId="4B236802" w:rsidR="00726B8B" w:rsidRPr="00EC29B0" w:rsidRDefault="0065531B" w:rsidP="00726B8B">
            <w:pP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ND</w:t>
            </w:r>
          </w:p>
        </w:tc>
        <w:tc>
          <w:tcPr>
            <w:tcW w:w="1812" w:type="dxa"/>
          </w:tcPr>
          <w:p w14:paraId="7D5F57D8" w14:textId="2FC4907C"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Absent</w:t>
            </w:r>
          </w:p>
        </w:tc>
        <w:tc>
          <w:tcPr>
            <w:tcW w:w="1812" w:type="dxa"/>
          </w:tcPr>
          <w:p w14:paraId="4DB9F3FA" w14:textId="75C519FD"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w:t>
            </w:r>
          </w:p>
        </w:tc>
        <w:tc>
          <w:tcPr>
            <w:tcW w:w="1812" w:type="dxa"/>
          </w:tcPr>
          <w:p w14:paraId="71D1970F" w14:textId="57D31747" w:rsidR="00726B8B" w:rsidRPr="00EC29B0" w:rsidRDefault="00726B8B" w:rsidP="00726B8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29B0">
              <w:rPr>
                <w:sz w:val="20"/>
                <w:szCs w:val="20"/>
              </w:rPr>
              <w:t>-</w:t>
            </w:r>
          </w:p>
        </w:tc>
      </w:tr>
      <w:tr w:rsidR="00726B8B" w14:paraId="08E66218" w14:textId="77777777" w:rsidTr="001655B4">
        <w:tc>
          <w:tcPr>
            <w:cnfStyle w:val="001000000000" w:firstRow="0" w:lastRow="0" w:firstColumn="1" w:lastColumn="0" w:oddVBand="0" w:evenVBand="0" w:oddHBand="0" w:evenHBand="0" w:firstRowFirstColumn="0" w:firstRowLastColumn="0" w:lastRowFirstColumn="0" w:lastRowLastColumn="0"/>
            <w:tcW w:w="2122" w:type="dxa"/>
          </w:tcPr>
          <w:p w14:paraId="42456A07" w14:textId="59741458" w:rsidR="00726B8B" w:rsidRPr="00EC29B0" w:rsidRDefault="00726B8B" w:rsidP="00726B8B">
            <w:pPr>
              <w:rPr>
                <w:sz w:val="20"/>
                <w:szCs w:val="20"/>
              </w:rPr>
            </w:pPr>
            <w:r w:rsidRPr="00EC29B0">
              <w:rPr>
                <w:b w:val="0"/>
                <w:sz w:val="20"/>
                <w:szCs w:val="20"/>
              </w:rPr>
              <w:t>Antimicrobial activity</w:t>
            </w:r>
          </w:p>
        </w:tc>
        <w:tc>
          <w:tcPr>
            <w:tcW w:w="1502" w:type="dxa"/>
          </w:tcPr>
          <w:p w14:paraId="7C015D84" w14:textId="05A7BD23" w:rsidR="00726B8B" w:rsidRPr="00EC29B0" w:rsidRDefault="0065531B" w:rsidP="00726B8B">
            <w:pP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ND</w:t>
            </w:r>
          </w:p>
        </w:tc>
        <w:tc>
          <w:tcPr>
            <w:tcW w:w="1812" w:type="dxa"/>
          </w:tcPr>
          <w:p w14:paraId="5B6D7C06" w14:textId="01C0D522"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Absent</w:t>
            </w:r>
          </w:p>
        </w:tc>
        <w:tc>
          <w:tcPr>
            <w:tcW w:w="1812" w:type="dxa"/>
          </w:tcPr>
          <w:p w14:paraId="123BE1C0" w14:textId="258302A3"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c>
          <w:tcPr>
            <w:tcW w:w="1812" w:type="dxa"/>
          </w:tcPr>
          <w:p w14:paraId="1E5047FC" w14:textId="5830E226" w:rsidR="00726B8B" w:rsidRPr="00EC29B0" w:rsidRDefault="00726B8B" w:rsidP="00726B8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29B0">
              <w:rPr>
                <w:sz w:val="20"/>
                <w:szCs w:val="20"/>
              </w:rPr>
              <w:t>-</w:t>
            </w:r>
          </w:p>
        </w:tc>
      </w:tr>
    </w:tbl>
    <w:p w14:paraId="29EC6F1F" w14:textId="5787C7AF" w:rsidR="00700578" w:rsidRDefault="00700578" w:rsidP="00F42F9D">
      <w:pPr>
        <w:pStyle w:val="Heading2"/>
      </w:pPr>
      <w:bookmarkStart w:id="80" w:name="_Toc59030970"/>
      <w:bookmarkStart w:id="81" w:name="_Toc90553180"/>
      <w:bookmarkStart w:id="82" w:name="_Toc90641273"/>
      <w:bookmarkStart w:id="83" w:name="_Toc90649536"/>
      <w:bookmarkStart w:id="84" w:name="_Toc90983304"/>
      <w:bookmarkStart w:id="85" w:name="_Toc94530986"/>
      <w:bookmarkStart w:id="86" w:name="_Toc100321334"/>
      <w:bookmarkStart w:id="87" w:name="_Toc100325019"/>
      <w:bookmarkStart w:id="88" w:name="_Toc109984713"/>
      <w:r>
        <w:t>2.3</w:t>
      </w:r>
      <w:r>
        <w:tab/>
        <w:t>Technological purpose of the enzyme</w:t>
      </w:r>
      <w:bookmarkEnd w:id="80"/>
      <w:bookmarkEnd w:id="81"/>
      <w:bookmarkEnd w:id="82"/>
      <w:bookmarkEnd w:id="83"/>
      <w:bookmarkEnd w:id="84"/>
      <w:bookmarkEnd w:id="85"/>
      <w:bookmarkEnd w:id="86"/>
      <w:bookmarkEnd w:id="87"/>
      <w:bookmarkEnd w:id="88"/>
    </w:p>
    <w:p w14:paraId="5BDD3CA1" w14:textId="350DAA9C" w:rsidR="18325358" w:rsidRDefault="44EE5C0A" w:rsidP="00136983">
      <w:pPr>
        <w:spacing w:after="240"/>
        <w:rPr>
          <w:lang w:bidi="ar-SA"/>
        </w:rPr>
      </w:pPr>
      <w:r w:rsidRPr="3EBADA22">
        <w:rPr>
          <w:lang w:bidi="ar-SA"/>
        </w:rPr>
        <w:t xml:space="preserve">The enzyme is intended to be used as a processing aid in </w:t>
      </w:r>
      <w:r w:rsidR="03A93A1B">
        <w:t xml:space="preserve">baking, brewing and </w:t>
      </w:r>
      <w:r w:rsidR="6D08A1BC">
        <w:t>starch processing for the production of starch hydrolysates, including glucose syrups. The purpose of g</w:t>
      </w:r>
      <w:r w:rsidR="00237078" w:rsidRPr="3EBADA22">
        <w:rPr>
          <w:lang w:bidi="ar-SA"/>
        </w:rPr>
        <w:t>lucoamylase</w:t>
      </w:r>
      <w:r w:rsidR="6D08A1BC" w:rsidRPr="3EBADA22">
        <w:rPr>
          <w:lang w:bidi="ar-SA"/>
        </w:rPr>
        <w:t xml:space="preserve"> is</w:t>
      </w:r>
      <w:r w:rsidR="00237078" w:rsidRPr="3EBADA22">
        <w:rPr>
          <w:lang w:bidi="ar-SA"/>
        </w:rPr>
        <w:t xml:space="preserve"> </w:t>
      </w:r>
      <w:r w:rsidRPr="3EBADA22">
        <w:rPr>
          <w:lang w:bidi="ar-SA"/>
        </w:rPr>
        <w:t>hydrolysis of terminal (1-&gt;4)-linked alpha-D-glucose residues from non-reducing ends of the chains with release of beta-D-glucose (BRENDA</w:t>
      </w:r>
      <w:r>
        <w:t>:</w:t>
      </w:r>
      <w:r w:rsidRPr="3EBADA22">
        <w:rPr>
          <w:lang w:bidi="ar-SA"/>
        </w:rPr>
        <w:t>EC3.2.1.3</w:t>
      </w:r>
      <w:r w:rsidR="3458C26E" w:rsidRPr="3EBADA22">
        <w:rPr>
          <w:lang w:bidi="ar-SA"/>
        </w:rPr>
        <w:t>, 202</w:t>
      </w:r>
      <w:r w:rsidRPr="3EBADA22">
        <w:rPr>
          <w:lang w:bidi="ar-SA"/>
        </w:rPr>
        <w:t>2)</w:t>
      </w:r>
      <w:r w:rsidR="4DE69D32" w:rsidRPr="3EBADA22">
        <w:rPr>
          <w:lang w:bidi="ar-SA"/>
        </w:rPr>
        <w:t xml:space="preserve"> - see Figure 1</w:t>
      </w:r>
      <w:r w:rsidR="02596C51" w:rsidRPr="3EBADA22">
        <w:rPr>
          <w:lang w:bidi="ar-SA"/>
        </w:rPr>
        <w:t>.</w:t>
      </w:r>
    </w:p>
    <w:p w14:paraId="47CCFB87" w14:textId="27223738" w:rsidR="00A317D4" w:rsidRDefault="0C71EF0C" w:rsidP="3EBADA22">
      <w:pPr>
        <w:rPr>
          <w:szCs w:val="22"/>
          <w:lang w:eastAsia="en-AU" w:bidi="ar-SA"/>
        </w:rPr>
      </w:pPr>
      <w:r w:rsidRPr="3EBADA22">
        <w:rPr>
          <w:lang w:bidi="ar-SA"/>
        </w:rPr>
        <w:t xml:space="preserve">Glucoamylase </w:t>
      </w:r>
      <w:r w:rsidR="1E2DC259" w:rsidRPr="3EBADA22">
        <w:rPr>
          <w:lang w:bidi="ar-SA"/>
        </w:rPr>
        <w:t>hydrolyses</w:t>
      </w:r>
      <w:r w:rsidRPr="3EBADA22">
        <w:rPr>
          <w:lang w:bidi="ar-SA"/>
        </w:rPr>
        <w:t xml:space="preserve"> starch (saccharification) to release glucose to produce various products such as alcohol (ethanol), amino and organic acids. End products can be further processed to produce glucose syrups and other starch hydrolysates (Kumar and Satyanarayana 2009). Starch hydrolysates are a combination of polyhydric alcohols and can include maltitol and sorbitol (</w:t>
      </w:r>
      <w:r w:rsidR="10996310" w:rsidRPr="3EBADA22">
        <w:rPr>
          <w:lang w:bidi="ar-SA"/>
        </w:rPr>
        <w:t>Modderman 1993)</w:t>
      </w:r>
      <w:r w:rsidRPr="3EBADA22">
        <w:rPr>
          <w:lang w:bidi="ar-SA"/>
        </w:rPr>
        <w:t xml:space="preserve">. </w:t>
      </w:r>
      <w:r w:rsidR="2951C01C" w:rsidRPr="3EBADA22">
        <w:rPr>
          <w:lang w:eastAsia="en-AU" w:bidi="ar-SA"/>
        </w:rPr>
        <w:t>Table 2 includes a summary of the physical and chemical properties of the enzyme.</w:t>
      </w:r>
    </w:p>
    <w:p w14:paraId="67EEE010" w14:textId="5A31AD36" w:rsidR="007B654E" w:rsidRDefault="007B654E" w:rsidP="00136983">
      <w:pPr>
        <w:rPr>
          <w:lang w:bidi="ar-SA"/>
        </w:rPr>
      </w:pPr>
    </w:p>
    <w:p w14:paraId="3ECECFC7" w14:textId="17DE0ACC" w:rsidR="007B654E" w:rsidRDefault="007B654E" w:rsidP="00136983">
      <w:pPr>
        <w:rPr>
          <w:lang w:bidi="ar-SA"/>
        </w:rPr>
      </w:pPr>
    </w:p>
    <w:p w14:paraId="3C50F05A" w14:textId="0802E435" w:rsidR="007B654E" w:rsidRDefault="007B654E" w:rsidP="00136983">
      <w:pPr>
        <w:rPr>
          <w:lang w:bidi="ar-SA"/>
        </w:rPr>
      </w:pPr>
    </w:p>
    <w:p w14:paraId="36CBEE49" w14:textId="77777777" w:rsidR="00AB0C2B" w:rsidRDefault="00AB0C2B" w:rsidP="00136983">
      <w:pPr>
        <w:rPr>
          <w:lang w:bidi="ar-SA"/>
        </w:rPr>
      </w:pPr>
    </w:p>
    <w:p w14:paraId="360EFBAE" w14:textId="77777777" w:rsidR="00AB0C2B" w:rsidRDefault="00AB0C2B" w:rsidP="00136983">
      <w:pPr>
        <w:rPr>
          <w:lang w:bidi="ar-SA"/>
        </w:rPr>
      </w:pPr>
    </w:p>
    <w:p w14:paraId="3DB90E57" w14:textId="1037E509" w:rsidR="005008FB" w:rsidRDefault="0F744191" w:rsidP="00942623">
      <w:pPr>
        <w:rPr>
          <w:lang w:eastAsia="en-AU" w:bidi="ar-SA"/>
        </w:rPr>
      </w:pPr>
      <w:r w:rsidRPr="3EBADA22">
        <w:rPr>
          <w:b/>
          <w:bCs/>
          <w:i/>
          <w:iCs/>
          <w:lang w:bidi="ar-SA"/>
        </w:rPr>
        <w:t>Figure 1</w:t>
      </w:r>
      <w:r w:rsidRPr="3EBADA22">
        <w:rPr>
          <w:i/>
          <w:iCs/>
          <w:lang w:bidi="ar-SA"/>
        </w:rPr>
        <w:t xml:space="preserve">. </w:t>
      </w:r>
      <w:r w:rsidR="24688A00" w:rsidRPr="3EBADA22">
        <w:rPr>
          <w:i/>
          <w:iCs/>
          <w:lang w:bidi="ar-SA"/>
        </w:rPr>
        <w:t xml:space="preserve">Hydrolysis </w:t>
      </w:r>
      <w:r w:rsidR="6BD2D95F" w:rsidRPr="3EBADA22">
        <w:rPr>
          <w:i/>
          <w:iCs/>
          <w:lang w:bidi="ar-SA"/>
        </w:rPr>
        <w:t>r</w:t>
      </w:r>
      <w:r w:rsidR="44EE5C0A" w:rsidRPr="3EBADA22">
        <w:rPr>
          <w:i/>
          <w:iCs/>
          <w:lang w:bidi="ar-SA"/>
        </w:rPr>
        <w:t xml:space="preserve">eaction </w:t>
      </w:r>
      <w:r w:rsidR="3A012DE4" w:rsidRPr="3EBADA22">
        <w:rPr>
          <w:i/>
          <w:iCs/>
          <w:lang w:bidi="ar-SA"/>
        </w:rPr>
        <w:t>catalysed by</w:t>
      </w:r>
      <w:r w:rsidR="44EE5C0A" w:rsidRPr="3EBADA22">
        <w:rPr>
          <w:i/>
          <w:iCs/>
          <w:lang w:bidi="ar-SA"/>
        </w:rPr>
        <w:t xml:space="preserve"> glucoamylase </w:t>
      </w:r>
    </w:p>
    <w:p w14:paraId="4D52DF24" w14:textId="77777777" w:rsidR="007B654E" w:rsidRDefault="007B654E" w:rsidP="00942623">
      <w:pPr>
        <w:rPr>
          <w:lang w:eastAsia="en-AU" w:bidi="ar-SA"/>
        </w:rPr>
      </w:pPr>
    </w:p>
    <w:p w14:paraId="0EC768A8" w14:textId="77777777" w:rsidR="007B654E" w:rsidRDefault="007B654E" w:rsidP="007B654E">
      <w:pPr>
        <w:rPr>
          <w:lang w:bidi="ar-SA"/>
        </w:rPr>
      </w:pPr>
      <w:r w:rsidRPr="007B654E">
        <w:rPr>
          <w:lang w:bidi="ar-SA"/>
        </w:rPr>
        <w:t>(alpha-D-glucopyranosy</w:t>
      </w:r>
      <w:r>
        <w:rPr>
          <w:lang w:bidi="ar-SA"/>
        </w:rPr>
        <w:t>l-(1-4))n-alpha-D-glucopyranose + H2O</w:t>
      </w:r>
      <w:r>
        <w:rPr>
          <w:lang w:bidi="ar-SA"/>
        </w:rPr>
        <w:tab/>
        <w:t xml:space="preserve">= </w:t>
      </w:r>
    </w:p>
    <w:p w14:paraId="2E42C237" w14:textId="0D0B75B2" w:rsidR="00667176" w:rsidRPr="0024550B" w:rsidRDefault="007B654E" w:rsidP="00942623">
      <w:pPr>
        <w:rPr>
          <w:lang w:bidi="ar-SA"/>
        </w:rPr>
      </w:pPr>
      <w:r w:rsidRPr="007B654E">
        <w:rPr>
          <w:lang w:bidi="ar-SA"/>
        </w:rPr>
        <w:t>(alpha-D-glucopyranosyl-(1</w:t>
      </w:r>
      <w:r>
        <w:rPr>
          <w:lang w:bidi="ar-SA"/>
        </w:rPr>
        <w:t>-4))n-1-alpha-D-glucopyranose</w:t>
      </w:r>
      <w:r>
        <w:rPr>
          <w:lang w:bidi="ar-SA"/>
        </w:rPr>
        <w:tab/>
        <w:t xml:space="preserve"> + </w:t>
      </w:r>
      <w:r w:rsidRPr="007B654E">
        <w:rPr>
          <w:lang w:bidi="ar-SA"/>
        </w:rPr>
        <w:t>beta-D-glucopyranose</w:t>
      </w:r>
    </w:p>
    <w:p w14:paraId="29053216" w14:textId="64BCFDE6" w:rsidR="00667176" w:rsidRDefault="007B654E" w:rsidP="00700578">
      <w:pPr>
        <w:pStyle w:val="FSTableFigureHeading"/>
        <w:rPr>
          <w:color w:val="auto"/>
        </w:rPr>
      </w:pPr>
      <w:r>
        <w:rPr>
          <w:noProof/>
          <w:color w:val="auto"/>
          <w:lang w:val="en-GB" w:eastAsia="en-GB"/>
        </w:rPr>
        <w:drawing>
          <wp:inline distT="0" distB="0" distL="0" distR="0" wp14:anchorId="41655CDC" wp14:editId="25476450">
            <wp:extent cx="5759450" cy="1836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ymosin reaction.JPG"/>
                    <pic:cNvPicPr/>
                  </pic:nvPicPr>
                  <pic:blipFill>
                    <a:blip r:embed="rId20">
                      <a:extLst>
                        <a:ext uri="{28A0092B-C50C-407E-A947-70E740481C1C}">
                          <a14:useLocalDpi xmlns:a14="http://schemas.microsoft.com/office/drawing/2010/main" val="0"/>
                        </a:ext>
                      </a:extLst>
                    </a:blip>
                    <a:stretch>
                      <a:fillRect/>
                    </a:stretch>
                  </pic:blipFill>
                  <pic:spPr>
                    <a:xfrm>
                      <a:off x="0" y="0"/>
                      <a:ext cx="5759450" cy="1836420"/>
                    </a:xfrm>
                    <a:prstGeom prst="rect">
                      <a:avLst/>
                    </a:prstGeom>
                  </pic:spPr>
                </pic:pic>
              </a:graphicData>
            </a:graphic>
          </wp:inline>
        </w:drawing>
      </w:r>
    </w:p>
    <w:p w14:paraId="46363F0A" w14:textId="7B565768" w:rsidR="00667176" w:rsidRDefault="00667176" w:rsidP="00700578">
      <w:pPr>
        <w:pStyle w:val="FSTableFigureHeading"/>
        <w:rPr>
          <w:color w:val="auto"/>
        </w:rPr>
      </w:pPr>
    </w:p>
    <w:p w14:paraId="07F9F99D" w14:textId="5F05AC03" w:rsidR="00061FC9" w:rsidRDefault="4AFDF377" w:rsidP="00700578">
      <w:pPr>
        <w:pStyle w:val="FSTableFigureHeading"/>
        <w:rPr>
          <w:b w:val="0"/>
          <w:color w:val="auto"/>
        </w:rPr>
      </w:pPr>
      <w:r w:rsidRPr="18325358">
        <w:rPr>
          <w:color w:val="auto"/>
        </w:rPr>
        <w:t>Table 2</w:t>
      </w:r>
      <w:r w:rsidR="00061FC9">
        <w:tab/>
      </w:r>
      <w:r w:rsidR="0E1080BD" w:rsidRPr="18325358">
        <w:rPr>
          <w:b w:val="0"/>
          <w:color w:val="auto"/>
        </w:rPr>
        <w:t>Glucoamylase</w:t>
      </w:r>
      <w:r w:rsidRPr="18325358">
        <w:rPr>
          <w:color w:val="auto"/>
        </w:rPr>
        <w:t xml:space="preserve"> </w:t>
      </w:r>
      <w:r w:rsidRPr="18325358">
        <w:rPr>
          <w:b w:val="0"/>
          <w:color w:val="auto"/>
        </w:rPr>
        <w:t>enzyme</w:t>
      </w:r>
      <w:r w:rsidRPr="18325358">
        <w:rPr>
          <w:color w:val="auto"/>
        </w:rPr>
        <w:t xml:space="preserve"> </w:t>
      </w:r>
      <w:r w:rsidRPr="18325358">
        <w:rPr>
          <w:b w:val="0"/>
          <w:color w:val="auto"/>
        </w:rPr>
        <w:t>physical/chemical properties</w:t>
      </w:r>
    </w:p>
    <w:tbl>
      <w:tblPr>
        <w:tblStyle w:val="ListTable4"/>
        <w:tblW w:w="0" w:type="auto"/>
        <w:tblLook w:val="04A0" w:firstRow="1" w:lastRow="0" w:firstColumn="1" w:lastColumn="0" w:noHBand="0" w:noVBand="1"/>
      </w:tblPr>
      <w:tblGrid>
        <w:gridCol w:w="2642"/>
        <w:gridCol w:w="2642"/>
        <w:gridCol w:w="2642"/>
      </w:tblGrid>
      <w:tr w:rsidR="00061FC9" w14:paraId="10474294" w14:textId="77777777" w:rsidTr="3F6E6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shd w:val="clear" w:color="auto" w:fill="7F7F7F" w:themeFill="text1" w:themeFillTint="80"/>
          </w:tcPr>
          <w:p w14:paraId="2AD37CC1" w14:textId="2E71A5C5" w:rsidR="00061FC9" w:rsidRPr="00061FC9" w:rsidRDefault="00061FC9" w:rsidP="00700578">
            <w:pPr>
              <w:pStyle w:val="FSTableFigureHeading"/>
              <w:ind w:left="0" w:firstLine="0"/>
              <w:rPr>
                <w:b/>
                <w:i w:val="0"/>
                <w:color w:val="FFFFFF" w:themeColor="background1"/>
              </w:rPr>
            </w:pPr>
            <w:r w:rsidRPr="0005354D">
              <w:rPr>
                <w:b/>
                <w:color w:val="FFFFFF" w:themeColor="background1"/>
              </w:rPr>
              <w:t>Physical/chemical properties</w:t>
            </w:r>
          </w:p>
        </w:tc>
        <w:tc>
          <w:tcPr>
            <w:tcW w:w="2642" w:type="dxa"/>
            <w:shd w:val="clear" w:color="auto" w:fill="7F7F7F" w:themeFill="text1" w:themeFillTint="80"/>
          </w:tcPr>
          <w:p w14:paraId="0E65B1A9" w14:textId="3037B5F1" w:rsidR="00061FC9" w:rsidRPr="00061FC9" w:rsidRDefault="00061FC9" w:rsidP="00700578">
            <w:pPr>
              <w:pStyle w:val="FSTableFigureHeading"/>
              <w:ind w:left="0" w:firstLine="0"/>
              <w:cnfStyle w:val="100000000000" w:firstRow="1" w:lastRow="0" w:firstColumn="0" w:lastColumn="0" w:oddVBand="0" w:evenVBand="0" w:oddHBand="0" w:evenHBand="0" w:firstRowFirstColumn="0" w:firstRowLastColumn="0" w:lastRowFirstColumn="0" w:lastRowLastColumn="0"/>
              <w:rPr>
                <w:b/>
                <w:i w:val="0"/>
                <w:color w:val="FFFFFF" w:themeColor="background1"/>
              </w:rPr>
            </w:pPr>
            <w:r>
              <w:rPr>
                <w:b/>
                <w:color w:val="FFFFFF" w:themeColor="background1"/>
              </w:rPr>
              <w:t>Liquid preparation</w:t>
            </w:r>
          </w:p>
        </w:tc>
        <w:tc>
          <w:tcPr>
            <w:tcW w:w="2642" w:type="dxa"/>
            <w:shd w:val="clear" w:color="auto" w:fill="7F7F7F" w:themeFill="text1" w:themeFillTint="80"/>
          </w:tcPr>
          <w:p w14:paraId="6E5D670D" w14:textId="38C6BB59" w:rsidR="00061FC9" w:rsidRPr="00061FC9" w:rsidRDefault="00061FC9" w:rsidP="3F6E6AE9">
            <w:pPr>
              <w:pStyle w:val="FSTableFigureHeading"/>
              <w:ind w:left="0" w:firstLine="0"/>
              <w:cnfStyle w:val="100000000000" w:firstRow="1" w:lastRow="0" w:firstColumn="0" w:lastColumn="0" w:oddVBand="0" w:evenVBand="0" w:oddHBand="0" w:evenHBand="0" w:firstRowFirstColumn="0" w:firstRowLastColumn="0" w:lastRowFirstColumn="0" w:lastRowLastColumn="0"/>
              <w:rPr>
                <w:b/>
                <w:i w:val="0"/>
                <w:color w:val="FFFFFF" w:themeColor="background1"/>
              </w:rPr>
            </w:pPr>
            <w:r w:rsidRPr="3F6E6AE9">
              <w:rPr>
                <w:b/>
                <w:color w:val="FFFFFF" w:themeColor="background1"/>
              </w:rPr>
              <w:t>Granulate</w:t>
            </w:r>
            <w:r w:rsidR="00A270DC">
              <w:rPr>
                <w:b/>
                <w:color w:val="FFFFFF" w:themeColor="background1"/>
              </w:rPr>
              <w:t>d</w:t>
            </w:r>
            <w:r w:rsidRPr="3F6E6AE9">
              <w:rPr>
                <w:b/>
                <w:color w:val="FFFFFF" w:themeColor="background1"/>
              </w:rPr>
              <w:t xml:space="preserve"> preparation</w:t>
            </w:r>
          </w:p>
        </w:tc>
      </w:tr>
      <w:tr w:rsidR="00061FC9" w14:paraId="20C7E6E9" w14:textId="77777777" w:rsidTr="3F6E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vAlign w:val="center"/>
          </w:tcPr>
          <w:p w14:paraId="18D1EE20" w14:textId="6BF69AE9" w:rsidR="00061FC9" w:rsidRPr="00061FC9" w:rsidRDefault="00061FC9" w:rsidP="00061FC9">
            <w:pPr>
              <w:pStyle w:val="FSTableFigureHeading"/>
              <w:ind w:left="0" w:firstLine="0"/>
              <w:rPr>
                <w:i w:val="0"/>
                <w:color w:val="auto"/>
              </w:rPr>
            </w:pPr>
            <w:r w:rsidRPr="0005354D">
              <w:t>Enzyme activity</w:t>
            </w:r>
          </w:p>
        </w:tc>
        <w:tc>
          <w:tcPr>
            <w:tcW w:w="2642" w:type="dxa"/>
          </w:tcPr>
          <w:p w14:paraId="48A90A9B" w14:textId="17DAF7D0" w:rsidR="00061FC9" w:rsidRPr="00061FC9" w:rsidRDefault="00061FC9" w:rsidP="00061FC9">
            <w:pPr>
              <w:pStyle w:val="FSTableFigureHeading"/>
              <w:ind w:left="0" w:firstLine="0"/>
              <w:cnfStyle w:val="000000100000" w:firstRow="0" w:lastRow="0" w:firstColumn="0" w:lastColumn="0" w:oddVBand="0" w:evenVBand="0" w:oddHBand="1" w:evenHBand="0" w:firstRowFirstColumn="0" w:firstRowLastColumn="0" w:lastRowFirstColumn="0" w:lastRowLastColumn="0"/>
              <w:rPr>
                <w:b w:val="0"/>
                <w:i w:val="0"/>
                <w:color w:val="auto"/>
              </w:rPr>
            </w:pPr>
            <w:r w:rsidRPr="00061FC9">
              <w:rPr>
                <w:b w:val="0"/>
                <w:i w:val="0"/>
              </w:rPr>
              <w:t>420 AGU</w:t>
            </w:r>
            <w:r>
              <w:rPr>
                <w:b w:val="0"/>
                <w:i w:val="0"/>
              </w:rPr>
              <w:t>/g</w:t>
            </w:r>
            <w:r w:rsidRPr="00061FC9">
              <w:rPr>
                <w:b w:val="0"/>
                <w:i w:val="0"/>
              </w:rPr>
              <w:t xml:space="preserve"> (</w:t>
            </w:r>
            <w:proofErr w:type="spellStart"/>
            <w:r w:rsidRPr="00061FC9">
              <w:rPr>
                <w:b w:val="0"/>
                <w:i w:val="0"/>
              </w:rPr>
              <w:t>Amyloglucosidase</w:t>
            </w:r>
            <w:proofErr w:type="spellEnd"/>
            <w:r w:rsidRPr="00061FC9">
              <w:rPr>
                <w:b w:val="0"/>
                <w:i w:val="0"/>
              </w:rPr>
              <w:t xml:space="preserve"> unit)</w:t>
            </w:r>
          </w:p>
        </w:tc>
        <w:tc>
          <w:tcPr>
            <w:tcW w:w="2642" w:type="dxa"/>
          </w:tcPr>
          <w:p w14:paraId="1808B301" w14:textId="4E04ABCD" w:rsidR="00061FC9" w:rsidRPr="00061FC9" w:rsidRDefault="00061FC9" w:rsidP="00061FC9">
            <w:pPr>
              <w:pStyle w:val="FSTableFigureHeading"/>
              <w:ind w:left="0" w:firstLine="0"/>
              <w:cnfStyle w:val="000000100000" w:firstRow="0" w:lastRow="0" w:firstColumn="0" w:lastColumn="0" w:oddVBand="0" w:evenVBand="0" w:oddHBand="1" w:evenHBand="0" w:firstRowFirstColumn="0" w:firstRowLastColumn="0" w:lastRowFirstColumn="0" w:lastRowLastColumn="0"/>
              <w:rPr>
                <w:b w:val="0"/>
                <w:i w:val="0"/>
                <w:color w:val="auto"/>
              </w:rPr>
            </w:pPr>
            <w:r>
              <w:rPr>
                <w:b w:val="0"/>
                <w:i w:val="0"/>
                <w:color w:val="auto"/>
              </w:rPr>
              <w:t>2500 AGU/g</w:t>
            </w:r>
          </w:p>
        </w:tc>
      </w:tr>
      <w:tr w:rsidR="00061FC9" w14:paraId="163D8431" w14:textId="77777777" w:rsidTr="3F6E6AE9">
        <w:tc>
          <w:tcPr>
            <w:cnfStyle w:val="001000000000" w:firstRow="0" w:lastRow="0" w:firstColumn="1" w:lastColumn="0" w:oddVBand="0" w:evenVBand="0" w:oddHBand="0" w:evenHBand="0" w:firstRowFirstColumn="0" w:firstRowLastColumn="0" w:lastRowFirstColumn="0" w:lastRowLastColumn="0"/>
            <w:tcW w:w="2642" w:type="dxa"/>
            <w:vAlign w:val="center"/>
          </w:tcPr>
          <w:p w14:paraId="2FF23F4E" w14:textId="6EA1C0BF" w:rsidR="00061FC9" w:rsidRPr="00061FC9" w:rsidRDefault="00061FC9" w:rsidP="00061FC9">
            <w:pPr>
              <w:pStyle w:val="FSTableFigureHeading"/>
              <w:ind w:left="0" w:firstLine="0"/>
              <w:rPr>
                <w:i w:val="0"/>
                <w:color w:val="auto"/>
              </w:rPr>
            </w:pPr>
            <w:r w:rsidRPr="0005354D">
              <w:t>Appearance</w:t>
            </w:r>
          </w:p>
        </w:tc>
        <w:tc>
          <w:tcPr>
            <w:tcW w:w="2642" w:type="dxa"/>
          </w:tcPr>
          <w:p w14:paraId="7B7351D3" w14:textId="1DD88D42" w:rsidR="00061FC9" w:rsidRPr="00061FC9" w:rsidRDefault="00061FC9" w:rsidP="00061FC9">
            <w:pPr>
              <w:pStyle w:val="FSTableFigureHeading"/>
              <w:ind w:left="0" w:firstLine="0"/>
              <w:cnfStyle w:val="000000000000" w:firstRow="0" w:lastRow="0" w:firstColumn="0" w:lastColumn="0" w:oddVBand="0" w:evenVBand="0" w:oddHBand="0" w:evenHBand="0" w:firstRowFirstColumn="0" w:firstRowLastColumn="0" w:lastRowFirstColumn="0" w:lastRowLastColumn="0"/>
              <w:rPr>
                <w:b w:val="0"/>
                <w:i w:val="0"/>
                <w:color w:val="auto"/>
              </w:rPr>
            </w:pPr>
            <w:r>
              <w:rPr>
                <w:b w:val="0"/>
                <w:i w:val="0"/>
                <w:color w:val="auto"/>
              </w:rPr>
              <w:t xml:space="preserve">Light to dark brown </w:t>
            </w:r>
          </w:p>
        </w:tc>
        <w:tc>
          <w:tcPr>
            <w:tcW w:w="2642" w:type="dxa"/>
          </w:tcPr>
          <w:p w14:paraId="1216F83A" w14:textId="391A1A85" w:rsidR="00061FC9" w:rsidRPr="00061FC9" w:rsidRDefault="00061FC9" w:rsidP="00061FC9">
            <w:pPr>
              <w:pStyle w:val="FSTableFigureHeading"/>
              <w:ind w:left="0" w:firstLine="0"/>
              <w:cnfStyle w:val="000000000000" w:firstRow="0" w:lastRow="0" w:firstColumn="0" w:lastColumn="0" w:oddVBand="0" w:evenVBand="0" w:oddHBand="0" w:evenHBand="0" w:firstRowFirstColumn="0" w:firstRowLastColumn="0" w:lastRowFirstColumn="0" w:lastRowLastColumn="0"/>
              <w:rPr>
                <w:b w:val="0"/>
                <w:i w:val="0"/>
                <w:color w:val="auto"/>
              </w:rPr>
            </w:pPr>
            <w:r>
              <w:rPr>
                <w:b w:val="0"/>
                <w:i w:val="0"/>
                <w:color w:val="auto"/>
              </w:rPr>
              <w:t>Off-white to light brown</w:t>
            </w:r>
          </w:p>
        </w:tc>
      </w:tr>
      <w:tr w:rsidR="00061FC9" w14:paraId="213920A2" w14:textId="77777777" w:rsidTr="3F6E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vAlign w:val="center"/>
          </w:tcPr>
          <w:p w14:paraId="51050B57" w14:textId="4E6C5300" w:rsidR="00061FC9" w:rsidRPr="00061FC9" w:rsidRDefault="00061FC9" w:rsidP="00061FC9">
            <w:pPr>
              <w:pStyle w:val="FSTableFigureHeading"/>
              <w:ind w:left="0" w:firstLine="0"/>
              <w:rPr>
                <w:i w:val="0"/>
                <w:color w:val="auto"/>
              </w:rPr>
            </w:pPr>
            <w:r w:rsidRPr="0005354D">
              <w:t>Temperature optimum</w:t>
            </w:r>
          </w:p>
        </w:tc>
        <w:tc>
          <w:tcPr>
            <w:tcW w:w="2642" w:type="dxa"/>
          </w:tcPr>
          <w:p w14:paraId="4990E3A5" w14:textId="25DBCFA1" w:rsidR="00061FC9" w:rsidRPr="00061FC9" w:rsidRDefault="008E3113" w:rsidP="00197450">
            <w:pPr>
              <w:pStyle w:val="FSTableFigureHeading"/>
              <w:ind w:left="0" w:firstLine="0"/>
              <w:cnfStyle w:val="000000100000" w:firstRow="0" w:lastRow="0" w:firstColumn="0" w:lastColumn="0" w:oddVBand="0" w:evenVBand="0" w:oddHBand="1" w:evenHBand="0" w:firstRowFirstColumn="0" w:firstRowLastColumn="0" w:lastRowFirstColumn="0" w:lastRowLastColumn="0"/>
              <w:rPr>
                <w:b w:val="0"/>
                <w:i w:val="0"/>
                <w:color w:val="auto"/>
              </w:rPr>
            </w:pPr>
            <w:r>
              <w:rPr>
                <w:b w:val="0"/>
                <w:i w:val="0"/>
                <w:color w:val="auto"/>
              </w:rPr>
              <w:t>60-75</w:t>
            </w:r>
            <w:r w:rsidR="00197450">
              <w:rPr>
                <w:b w:val="0"/>
                <w:i w:val="0"/>
                <w:color w:val="auto"/>
                <w:vertAlign w:val="superscript"/>
              </w:rPr>
              <w:t>°</w:t>
            </w:r>
            <w:proofErr w:type="spellStart"/>
            <w:r>
              <w:rPr>
                <w:b w:val="0"/>
                <w:i w:val="0"/>
                <w:color w:val="auto"/>
              </w:rPr>
              <w:t>C</w:t>
            </w:r>
            <w:r w:rsidR="002F0472">
              <w:rPr>
                <w:b w:val="0"/>
                <w:i w:val="0"/>
                <w:color w:val="auto"/>
              </w:rPr>
              <w:t xml:space="preserve"> at</w:t>
            </w:r>
            <w:proofErr w:type="spellEnd"/>
            <w:r w:rsidR="002F0472">
              <w:rPr>
                <w:b w:val="0"/>
                <w:i w:val="0"/>
                <w:color w:val="auto"/>
              </w:rPr>
              <w:t xml:space="preserve"> pH 4</w:t>
            </w:r>
          </w:p>
        </w:tc>
        <w:tc>
          <w:tcPr>
            <w:tcW w:w="2642" w:type="dxa"/>
          </w:tcPr>
          <w:p w14:paraId="5679FF04" w14:textId="49CE0F60" w:rsidR="00061FC9" w:rsidRPr="00061FC9" w:rsidRDefault="00A317D4" w:rsidP="00061FC9">
            <w:pPr>
              <w:pStyle w:val="FSTableFigureHeading"/>
              <w:ind w:left="0" w:firstLine="0"/>
              <w:cnfStyle w:val="000000100000" w:firstRow="0" w:lastRow="0" w:firstColumn="0" w:lastColumn="0" w:oddVBand="0" w:evenVBand="0" w:oddHBand="1" w:evenHBand="0" w:firstRowFirstColumn="0" w:firstRowLastColumn="0" w:lastRowFirstColumn="0" w:lastRowLastColumn="0"/>
              <w:rPr>
                <w:b w:val="0"/>
                <w:i w:val="0"/>
                <w:color w:val="auto"/>
              </w:rPr>
            </w:pPr>
            <w:r>
              <w:rPr>
                <w:b w:val="0"/>
                <w:i w:val="0"/>
                <w:color w:val="auto"/>
              </w:rPr>
              <w:t>Not provided</w:t>
            </w:r>
          </w:p>
        </w:tc>
      </w:tr>
      <w:tr w:rsidR="00061FC9" w14:paraId="417BC7DA" w14:textId="77777777" w:rsidTr="3F6E6AE9">
        <w:tc>
          <w:tcPr>
            <w:cnfStyle w:val="001000000000" w:firstRow="0" w:lastRow="0" w:firstColumn="1" w:lastColumn="0" w:oddVBand="0" w:evenVBand="0" w:oddHBand="0" w:evenHBand="0" w:firstRowFirstColumn="0" w:firstRowLastColumn="0" w:lastRowFirstColumn="0" w:lastRowLastColumn="0"/>
            <w:tcW w:w="2642" w:type="dxa"/>
            <w:vAlign w:val="center"/>
          </w:tcPr>
          <w:p w14:paraId="27A5BB13" w14:textId="2CB90B55" w:rsidR="00061FC9" w:rsidRPr="00061FC9" w:rsidRDefault="00061FC9" w:rsidP="00061FC9">
            <w:pPr>
              <w:pStyle w:val="FSTableFigureHeading"/>
              <w:ind w:left="0" w:firstLine="0"/>
              <w:rPr>
                <w:i w:val="0"/>
                <w:color w:val="auto"/>
              </w:rPr>
            </w:pPr>
            <w:r w:rsidRPr="0005354D">
              <w:t>Temperature stability/storage</w:t>
            </w:r>
          </w:p>
        </w:tc>
        <w:tc>
          <w:tcPr>
            <w:tcW w:w="2642" w:type="dxa"/>
          </w:tcPr>
          <w:p w14:paraId="1C0681AD" w14:textId="326DE9A8" w:rsidR="00061FC9" w:rsidRPr="00061FC9" w:rsidRDefault="00061FC9" w:rsidP="00197450">
            <w:pPr>
              <w:pStyle w:val="FSTableFigureHeading"/>
              <w:ind w:left="0" w:firstLine="0"/>
              <w:cnfStyle w:val="000000000000" w:firstRow="0" w:lastRow="0" w:firstColumn="0" w:lastColumn="0" w:oddVBand="0" w:evenVBand="0" w:oddHBand="0" w:evenHBand="0" w:firstRowFirstColumn="0" w:firstRowLastColumn="0" w:lastRowFirstColumn="0" w:lastRowLastColumn="0"/>
              <w:rPr>
                <w:b w:val="0"/>
                <w:i w:val="0"/>
                <w:color w:val="auto"/>
              </w:rPr>
            </w:pPr>
            <w:r>
              <w:rPr>
                <w:b w:val="0"/>
                <w:i w:val="0"/>
                <w:color w:val="auto"/>
              </w:rPr>
              <w:t>0-10</w:t>
            </w:r>
            <w:r w:rsidR="00197450">
              <w:rPr>
                <w:b w:val="0"/>
                <w:i w:val="0"/>
                <w:color w:val="auto"/>
                <w:vertAlign w:val="superscript"/>
              </w:rPr>
              <w:t>°</w:t>
            </w:r>
            <w:r>
              <w:rPr>
                <w:b w:val="0"/>
                <w:i w:val="0"/>
                <w:color w:val="auto"/>
              </w:rPr>
              <w:t>C</w:t>
            </w:r>
          </w:p>
        </w:tc>
        <w:tc>
          <w:tcPr>
            <w:tcW w:w="2642" w:type="dxa"/>
          </w:tcPr>
          <w:p w14:paraId="40A97F0C" w14:textId="17B971DE" w:rsidR="00061FC9" w:rsidRPr="00061FC9" w:rsidRDefault="00061FC9" w:rsidP="00197450">
            <w:pPr>
              <w:pStyle w:val="FSTableFigureHeading"/>
              <w:ind w:left="0" w:firstLine="0"/>
              <w:cnfStyle w:val="000000000000" w:firstRow="0" w:lastRow="0" w:firstColumn="0" w:lastColumn="0" w:oddVBand="0" w:evenVBand="0" w:oddHBand="0" w:evenHBand="0" w:firstRowFirstColumn="0" w:firstRowLastColumn="0" w:lastRowFirstColumn="0" w:lastRowLastColumn="0"/>
              <w:rPr>
                <w:b w:val="0"/>
                <w:i w:val="0"/>
                <w:color w:val="auto"/>
              </w:rPr>
            </w:pPr>
            <w:r>
              <w:rPr>
                <w:b w:val="0"/>
                <w:i w:val="0"/>
                <w:color w:val="auto"/>
              </w:rPr>
              <w:t>0-25</w:t>
            </w:r>
            <w:r w:rsidR="00197450">
              <w:rPr>
                <w:b w:val="0"/>
                <w:i w:val="0"/>
                <w:color w:val="auto"/>
                <w:vertAlign w:val="superscript"/>
              </w:rPr>
              <w:t>°</w:t>
            </w:r>
            <w:r>
              <w:rPr>
                <w:b w:val="0"/>
                <w:i w:val="0"/>
                <w:color w:val="auto"/>
              </w:rPr>
              <w:t>C</w:t>
            </w:r>
          </w:p>
        </w:tc>
      </w:tr>
      <w:tr w:rsidR="00061FC9" w14:paraId="74E7F1D7" w14:textId="77777777" w:rsidTr="3F6E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vAlign w:val="center"/>
          </w:tcPr>
          <w:p w14:paraId="44AEBD87" w14:textId="51F477AC" w:rsidR="00061FC9" w:rsidRPr="00061FC9" w:rsidRDefault="00061FC9" w:rsidP="00061FC9">
            <w:pPr>
              <w:pStyle w:val="FSTableFigureHeading"/>
              <w:ind w:left="0" w:firstLine="0"/>
              <w:rPr>
                <w:i w:val="0"/>
                <w:color w:val="auto"/>
              </w:rPr>
            </w:pPr>
            <w:r w:rsidRPr="0005354D">
              <w:t>pH optimum</w:t>
            </w:r>
          </w:p>
        </w:tc>
        <w:tc>
          <w:tcPr>
            <w:tcW w:w="2642" w:type="dxa"/>
          </w:tcPr>
          <w:p w14:paraId="7EA9BAE2" w14:textId="0A813351" w:rsidR="00061FC9" w:rsidRPr="00061FC9" w:rsidRDefault="008E3113" w:rsidP="00197450">
            <w:pPr>
              <w:pStyle w:val="FSTableFigureHeading"/>
              <w:ind w:left="0" w:firstLine="0"/>
              <w:cnfStyle w:val="000000100000" w:firstRow="0" w:lastRow="0" w:firstColumn="0" w:lastColumn="0" w:oddVBand="0" w:evenVBand="0" w:oddHBand="1" w:evenHBand="0" w:firstRowFirstColumn="0" w:firstRowLastColumn="0" w:lastRowFirstColumn="0" w:lastRowLastColumn="0"/>
              <w:rPr>
                <w:b w:val="0"/>
                <w:i w:val="0"/>
                <w:color w:val="auto"/>
              </w:rPr>
            </w:pPr>
            <w:r>
              <w:rPr>
                <w:b w:val="0"/>
                <w:i w:val="0"/>
                <w:color w:val="auto"/>
              </w:rPr>
              <w:t>3.5-4.5</w:t>
            </w:r>
            <w:r w:rsidR="006A7C9A">
              <w:rPr>
                <w:b w:val="0"/>
                <w:i w:val="0"/>
                <w:color w:val="auto"/>
              </w:rPr>
              <w:t xml:space="preserve"> at 37</w:t>
            </w:r>
            <w:r w:rsidR="00197450">
              <w:rPr>
                <w:b w:val="0"/>
                <w:i w:val="0"/>
                <w:color w:val="auto"/>
                <w:vertAlign w:val="superscript"/>
              </w:rPr>
              <w:t>°</w:t>
            </w:r>
            <w:r w:rsidR="00D24E4B">
              <w:rPr>
                <w:b w:val="0"/>
                <w:i w:val="0"/>
                <w:color w:val="auto"/>
              </w:rPr>
              <w:t>C</w:t>
            </w:r>
          </w:p>
        </w:tc>
        <w:tc>
          <w:tcPr>
            <w:tcW w:w="2642" w:type="dxa"/>
          </w:tcPr>
          <w:p w14:paraId="50735DF2" w14:textId="2CED995F" w:rsidR="00061FC9" w:rsidRPr="00061FC9" w:rsidRDefault="00A317D4" w:rsidP="00061FC9">
            <w:pPr>
              <w:pStyle w:val="FSTableFigureHeading"/>
              <w:ind w:left="0" w:firstLine="0"/>
              <w:cnfStyle w:val="000000100000" w:firstRow="0" w:lastRow="0" w:firstColumn="0" w:lastColumn="0" w:oddVBand="0" w:evenVBand="0" w:oddHBand="1" w:evenHBand="0" w:firstRowFirstColumn="0" w:firstRowLastColumn="0" w:lastRowFirstColumn="0" w:lastRowLastColumn="0"/>
              <w:rPr>
                <w:b w:val="0"/>
                <w:i w:val="0"/>
                <w:color w:val="auto"/>
              </w:rPr>
            </w:pPr>
            <w:r>
              <w:rPr>
                <w:b w:val="0"/>
                <w:i w:val="0"/>
                <w:color w:val="auto"/>
              </w:rPr>
              <w:t>Not provided</w:t>
            </w:r>
          </w:p>
        </w:tc>
      </w:tr>
      <w:tr w:rsidR="00061FC9" w14:paraId="61A8BB27" w14:textId="77777777" w:rsidTr="3F6E6AE9">
        <w:tc>
          <w:tcPr>
            <w:cnfStyle w:val="001000000000" w:firstRow="0" w:lastRow="0" w:firstColumn="1" w:lastColumn="0" w:oddVBand="0" w:evenVBand="0" w:oddHBand="0" w:evenHBand="0" w:firstRowFirstColumn="0" w:firstRowLastColumn="0" w:lastRowFirstColumn="0" w:lastRowLastColumn="0"/>
            <w:tcW w:w="2642" w:type="dxa"/>
            <w:vAlign w:val="center"/>
          </w:tcPr>
          <w:p w14:paraId="0135B8A6" w14:textId="2A9FD960" w:rsidR="00061FC9" w:rsidRPr="00061FC9" w:rsidRDefault="00061FC9" w:rsidP="00061FC9">
            <w:pPr>
              <w:pStyle w:val="FSTableFigureHeading"/>
              <w:ind w:left="0" w:firstLine="0"/>
              <w:rPr>
                <w:i w:val="0"/>
                <w:color w:val="auto"/>
              </w:rPr>
            </w:pPr>
            <w:r w:rsidRPr="0005354D">
              <w:t>pH stability</w:t>
            </w:r>
          </w:p>
        </w:tc>
        <w:tc>
          <w:tcPr>
            <w:tcW w:w="2642" w:type="dxa"/>
          </w:tcPr>
          <w:p w14:paraId="04F96F62" w14:textId="6189CDBF" w:rsidR="00061FC9" w:rsidRPr="00061FC9" w:rsidRDefault="008E3113" w:rsidP="00061FC9">
            <w:pPr>
              <w:pStyle w:val="FSTableFigureHeading"/>
              <w:ind w:left="0" w:firstLine="0"/>
              <w:cnfStyle w:val="000000000000" w:firstRow="0" w:lastRow="0" w:firstColumn="0" w:lastColumn="0" w:oddVBand="0" w:evenVBand="0" w:oddHBand="0" w:evenHBand="0" w:firstRowFirstColumn="0" w:firstRowLastColumn="0" w:lastRowFirstColumn="0" w:lastRowLastColumn="0"/>
              <w:rPr>
                <w:b w:val="0"/>
                <w:i w:val="0"/>
                <w:color w:val="auto"/>
              </w:rPr>
            </w:pPr>
            <w:r>
              <w:rPr>
                <w:b w:val="0"/>
                <w:i w:val="0"/>
                <w:color w:val="auto"/>
              </w:rPr>
              <w:t>5</w:t>
            </w:r>
          </w:p>
        </w:tc>
        <w:tc>
          <w:tcPr>
            <w:tcW w:w="2642" w:type="dxa"/>
          </w:tcPr>
          <w:p w14:paraId="7032A31E" w14:textId="37549E2C" w:rsidR="00061FC9" w:rsidRPr="00061FC9" w:rsidRDefault="00A317D4" w:rsidP="00061FC9">
            <w:pPr>
              <w:pStyle w:val="FSTableFigureHeading"/>
              <w:ind w:left="0" w:firstLine="0"/>
              <w:cnfStyle w:val="000000000000" w:firstRow="0" w:lastRow="0" w:firstColumn="0" w:lastColumn="0" w:oddVBand="0" w:evenVBand="0" w:oddHBand="0" w:evenHBand="0" w:firstRowFirstColumn="0" w:firstRowLastColumn="0" w:lastRowFirstColumn="0" w:lastRowLastColumn="0"/>
              <w:rPr>
                <w:b w:val="0"/>
                <w:i w:val="0"/>
                <w:color w:val="auto"/>
              </w:rPr>
            </w:pPr>
            <w:r>
              <w:rPr>
                <w:b w:val="0"/>
                <w:i w:val="0"/>
                <w:color w:val="auto"/>
              </w:rPr>
              <w:t>Not provided</w:t>
            </w:r>
          </w:p>
        </w:tc>
      </w:tr>
    </w:tbl>
    <w:p w14:paraId="0368BE13" w14:textId="77777777" w:rsidR="006C7EE4" w:rsidRDefault="006C7EE4" w:rsidP="006C7EE4"/>
    <w:p w14:paraId="56DF66DF" w14:textId="46B7CA0A" w:rsidR="008E5103" w:rsidRDefault="23F3AB20" w:rsidP="3EBADA22">
      <w:pPr>
        <w:spacing w:after="240"/>
        <w:rPr>
          <w:rFonts w:eastAsia="Arial"/>
          <w:b/>
          <w:bCs/>
          <w:i/>
          <w:iCs/>
          <w:color w:val="000000" w:themeColor="text1"/>
        </w:rPr>
      </w:pPr>
      <w:r w:rsidRPr="3EBADA22">
        <w:rPr>
          <w:rFonts w:eastAsia="Arial"/>
          <w:color w:val="000000" w:themeColor="text1"/>
        </w:rPr>
        <w:t xml:space="preserve">Following </w:t>
      </w:r>
      <w:r w:rsidR="525A7ECA" w:rsidRPr="3EBADA22">
        <w:rPr>
          <w:rFonts w:eastAsia="Arial"/>
          <w:color w:val="000000" w:themeColor="text1"/>
        </w:rPr>
        <w:t xml:space="preserve">the </w:t>
      </w:r>
      <w:r w:rsidRPr="3EBADA22">
        <w:rPr>
          <w:rFonts w:eastAsia="Arial"/>
          <w:color w:val="000000" w:themeColor="text1"/>
        </w:rPr>
        <w:t>hydrolysis</w:t>
      </w:r>
      <w:r w:rsidR="5DB3634E" w:rsidRPr="3EBADA22">
        <w:rPr>
          <w:rFonts w:eastAsia="Arial"/>
          <w:color w:val="000000" w:themeColor="text1"/>
        </w:rPr>
        <w:t xml:space="preserve"> reaction</w:t>
      </w:r>
      <w:r w:rsidRPr="3EBADA22">
        <w:rPr>
          <w:rFonts w:eastAsia="Arial"/>
          <w:color w:val="000000" w:themeColor="text1"/>
        </w:rPr>
        <w:t xml:space="preserve">, </w:t>
      </w:r>
      <w:r w:rsidR="0C76B907" w:rsidRPr="3EBADA22">
        <w:rPr>
          <w:rFonts w:eastAsia="Arial"/>
          <w:color w:val="000000" w:themeColor="text1"/>
        </w:rPr>
        <w:t>residual proteins will be removed through washing and/or filtration.</w:t>
      </w:r>
      <w:r w:rsidR="0C76B907" w:rsidRPr="3EBADA22">
        <w:rPr>
          <w:rFonts w:eastAsia="Arial"/>
          <w:b/>
          <w:bCs/>
          <w:i/>
          <w:iCs/>
          <w:color w:val="000000" w:themeColor="text1"/>
        </w:rPr>
        <w:t xml:space="preserve"> </w:t>
      </w:r>
      <w:r w:rsidR="799C8441" w:rsidRPr="3EBADA22">
        <w:rPr>
          <w:rFonts w:eastAsia="Arial"/>
          <w:color w:val="000000" w:themeColor="text1"/>
        </w:rPr>
        <w:t>Using the enzyme in bakery products at high oven temperatures</w:t>
      </w:r>
      <w:r w:rsidR="21DF8457" w:rsidRPr="3EBADA22">
        <w:rPr>
          <w:rFonts w:eastAsia="Arial"/>
          <w:color w:val="000000" w:themeColor="text1"/>
        </w:rPr>
        <w:t xml:space="preserve"> will result in it being inactivated.</w:t>
      </w:r>
      <w:r w:rsidR="799C8441" w:rsidRPr="3EBADA22">
        <w:rPr>
          <w:rFonts w:eastAsia="Arial"/>
          <w:color w:val="000000" w:themeColor="text1"/>
        </w:rPr>
        <w:t xml:space="preserve"> </w:t>
      </w:r>
      <w:r w:rsidR="73A627EF" w:rsidRPr="3EBADA22">
        <w:rPr>
          <w:rFonts w:eastAsia="Arial"/>
          <w:color w:val="000000" w:themeColor="text1"/>
        </w:rPr>
        <w:t>S</w:t>
      </w:r>
      <w:r w:rsidR="799C8441" w:rsidRPr="3EBADA22">
        <w:rPr>
          <w:rFonts w:eastAsia="Arial"/>
          <w:color w:val="000000" w:themeColor="text1"/>
        </w:rPr>
        <w:t xml:space="preserve">imilarly, </w:t>
      </w:r>
      <w:r w:rsidR="108AF680" w:rsidRPr="3EBADA22">
        <w:rPr>
          <w:rFonts w:eastAsia="Arial"/>
          <w:color w:val="000000" w:themeColor="text1"/>
        </w:rPr>
        <w:t xml:space="preserve"> </w:t>
      </w:r>
      <w:r w:rsidR="799C8441" w:rsidRPr="3EBADA22">
        <w:rPr>
          <w:rFonts w:eastAsia="Arial"/>
          <w:color w:val="000000" w:themeColor="text1"/>
        </w:rPr>
        <w:t xml:space="preserve">brewing and starch hydrolysis will also reach these </w:t>
      </w:r>
      <w:bookmarkStart w:id="89" w:name="_Int_6sCxtCFJ"/>
      <w:r w:rsidR="799C8441" w:rsidRPr="3EBADA22">
        <w:rPr>
          <w:rFonts w:eastAsia="Arial"/>
          <w:color w:val="000000" w:themeColor="text1"/>
        </w:rPr>
        <w:t>elevated temperatures</w:t>
      </w:r>
      <w:bookmarkEnd w:id="89"/>
      <w:r w:rsidR="799C8441" w:rsidRPr="3EBADA22">
        <w:rPr>
          <w:rFonts w:eastAsia="Arial"/>
          <w:color w:val="000000" w:themeColor="text1"/>
        </w:rPr>
        <w:t xml:space="preserve"> and inactivate the enzyme. </w:t>
      </w:r>
      <w:r w:rsidR="6273555C">
        <w:t>I</w:t>
      </w:r>
      <w:r w:rsidR="6273555C" w:rsidRPr="3EBADA22">
        <w:rPr>
          <w:rFonts w:eastAsia="Arial"/>
          <w:color w:val="000000" w:themeColor="text1"/>
        </w:rPr>
        <w:t>nformation provided by Novozymes states that the enzyme is inactivated at 80</w:t>
      </w:r>
      <w:r w:rsidR="6273555C" w:rsidRPr="3EBADA22">
        <w:rPr>
          <w:rFonts w:eastAsia="Arial" w:cs="Arial"/>
          <w:vertAlign w:val="superscript"/>
        </w:rPr>
        <w:t>°</w:t>
      </w:r>
      <w:r w:rsidR="6273555C" w:rsidRPr="3EBADA22">
        <w:rPr>
          <w:rFonts w:eastAsia="Arial"/>
          <w:color w:val="000000" w:themeColor="text1"/>
        </w:rPr>
        <w:t xml:space="preserve">C. </w:t>
      </w:r>
      <w:r w:rsidR="00716BFA">
        <w:rPr>
          <w:rFonts w:eastAsia="Arial"/>
          <w:color w:val="000000" w:themeColor="text1"/>
        </w:rPr>
        <w:t xml:space="preserve">The literature surrounding </w:t>
      </w:r>
      <w:r w:rsidR="002D365C">
        <w:rPr>
          <w:rFonts w:eastAsia="Arial"/>
          <w:color w:val="000000" w:themeColor="text1"/>
        </w:rPr>
        <w:t xml:space="preserve">enzyme activity at higher temperatures </w:t>
      </w:r>
      <w:r w:rsidR="005D61F1">
        <w:rPr>
          <w:rFonts w:eastAsia="Arial"/>
          <w:color w:val="000000" w:themeColor="text1"/>
        </w:rPr>
        <w:t>(above 60</w:t>
      </w:r>
      <w:r w:rsidR="005D61F1" w:rsidRPr="3EBADA22">
        <w:rPr>
          <w:rFonts w:eastAsia="Arial" w:cs="Arial"/>
          <w:vertAlign w:val="superscript"/>
        </w:rPr>
        <w:t>°</w:t>
      </w:r>
      <w:r w:rsidR="005D61F1" w:rsidRPr="3EBADA22">
        <w:rPr>
          <w:rFonts w:eastAsia="Arial"/>
          <w:color w:val="000000" w:themeColor="text1"/>
        </w:rPr>
        <w:t>C</w:t>
      </w:r>
      <w:r w:rsidR="005D61F1">
        <w:rPr>
          <w:rFonts w:eastAsia="Arial"/>
          <w:color w:val="000000" w:themeColor="text1"/>
        </w:rPr>
        <w:t xml:space="preserve">) </w:t>
      </w:r>
      <w:r w:rsidR="002D365C">
        <w:rPr>
          <w:rFonts w:eastAsia="Arial"/>
          <w:color w:val="000000" w:themeColor="text1"/>
        </w:rPr>
        <w:t>supports this</w:t>
      </w:r>
      <w:r w:rsidR="005D61F1">
        <w:rPr>
          <w:rFonts w:eastAsia="Arial"/>
          <w:color w:val="000000" w:themeColor="text1"/>
        </w:rPr>
        <w:t xml:space="preserve"> </w:t>
      </w:r>
      <w:r w:rsidR="003A55CC">
        <w:rPr>
          <w:rFonts w:eastAsia="Arial"/>
          <w:color w:val="000000" w:themeColor="text1"/>
        </w:rPr>
        <w:t>(</w:t>
      </w:r>
      <w:proofErr w:type="spellStart"/>
      <w:r w:rsidR="006476E1">
        <w:rPr>
          <w:rFonts w:eastAsia="Arial"/>
          <w:color w:val="000000" w:themeColor="text1"/>
        </w:rPr>
        <w:t>Ezugwu</w:t>
      </w:r>
      <w:proofErr w:type="spellEnd"/>
      <w:r w:rsidR="006476E1">
        <w:rPr>
          <w:rFonts w:eastAsia="Arial"/>
          <w:color w:val="000000" w:themeColor="text1"/>
        </w:rPr>
        <w:t xml:space="preserve">, Eze and </w:t>
      </w:r>
      <w:proofErr w:type="spellStart"/>
      <w:r w:rsidR="006476E1">
        <w:rPr>
          <w:rFonts w:eastAsia="Arial"/>
          <w:color w:val="000000" w:themeColor="text1"/>
        </w:rPr>
        <w:t>Chilaka</w:t>
      </w:r>
      <w:proofErr w:type="spellEnd"/>
      <w:r w:rsidR="006476E1">
        <w:rPr>
          <w:rFonts w:eastAsia="Arial"/>
          <w:color w:val="000000" w:themeColor="text1"/>
        </w:rPr>
        <w:t xml:space="preserve"> 2015)</w:t>
      </w:r>
      <w:r w:rsidR="002D365C">
        <w:rPr>
          <w:rFonts w:eastAsia="Arial"/>
          <w:color w:val="000000" w:themeColor="text1"/>
        </w:rPr>
        <w:t xml:space="preserve">. </w:t>
      </w:r>
      <w:r w:rsidR="6273555C">
        <w:t>Glucoamylase will be used as a processing aid where it is present in negligible amounts in the final food and have no ongoing technical function.</w:t>
      </w:r>
    </w:p>
    <w:p w14:paraId="05CD7130" w14:textId="4438076B" w:rsidR="008E5103" w:rsidRDefault="11485EFA" w:rsidP="3EBADA22">
      <w:pPr>
        <w:rPr>
          <w:rFonts w:eastAsia="Arial"/>
          <w:b/>
          <w:bCs/>
          <w:i/>
          <w:iCs/>
          <w:color w:val="000000" w:themeColor="text1"/>
        </w:rPr>
      </w:pPr>
      <w:r w:rsidRPr="3EBADA22">
        <w:rPr>
          <w:rFonts w:eastAsia="Arial"/>
          <w:color w:val="000000" w:themeColor="text1"/>
        </w:rPr>
        <w:t xml:space="preserve">The stability </w:t>
      </w:r>
      <w:r w:rsidR="41F0C383" w:rsidRPr="3EBADA22">
        <w:rPr>
          <w:rFonts w:eastAsia="Arial"/>
          <w:color w:val="000000" w:themeColor="text1"/>
        </w:rPr>
        <w:t xml:space="preserve">of glucoamylase </w:t>
      </w:r>
      <w:r w:rsidRPr="3EBADA22">
        <w:rPr>
          <w:rFonts w:eastAsia="Arial"/>
          <w:color w:val="000000" w:themeColor="text1"/>
        </w:rPr>
        <w:t>varies between the liquid and granulate</w:t>
      </w:r>
      <w:r w:rsidR="2ED64852" w:rsidRPr="3EBADA22">
        <w:rPr>
          <w:rFonts w:eastAsia="Arial"/>
          <w:color w:val="000000" w:themeColor="text1"/>
        </w:rPr>
        <w:t>d</w:t>
      </w:r>
      <w:r w:rsidRPr="3EBADA22">
        <w:rPr>
          <w:rFonts w:eastAsia="Arial"/>
          <w:color w:val="000000" w:themeColor="text1"/>
        </w:rPr>
        <w:t xml:space="preserve"> product. A product specification sheet for both the liquid and granulate</w:t>
      </w:r>
      <w:r w:rsidR="2ED64852" w:rsidRPr="3EBADA22">
        <w:rPr>
          <w:rFonts w:eastAsia="Arial"/>
          <w:color w:val="000000" w:themeColor="text1"/>
        </w:rPr>
        <w:t>d</w:t>
      </w:r>
      <w:r w:rsidRPr="3EBADA22">
        <w:rPr>
          <w:rFonts w:eastAsia="Arial"/>
          <w:color w:val="000000" w:themeColor="text1"/>
        </w:rPr>
        <w:t xml:space="preserve"> products was provided</w:t>
      </w:r>
      <w:r w:rsidR="00B86F99">
        <w:rPr>
          <w:rFonts w:eastAsia="Arial"/>
          <w:color w:val="000000" w:themeColor="text1"/>
        </w:rPr>
        <w:t>.</w:t>
      </w:r>
    </w:p>
    <w:p w14:paraId="18C526C2" w14:textId="3C9C280F" w:rsidR="00A57EB7" w:rsidRDefault="2345C385" w:rsidP="00F42F9D">
      <w:pPr>
        <w:pStyle w:val="Heading2"/>
      </w:pPr>
      <w:bookmarkStart w:id="90" w:name="_Toc94530987"/>
      <w:bookmarkStart w:id="91" w:name="_Toc100321335"/>
      <w:bookmarkStart w:id="92" w:name="_Toc100325020"/>
      <w:bookmarkStart w:id="93" w:name="_Toc109984714"/>
      <w:r>
        <w:lastRenderedPageBreak/>
        <w:t>2.4</w:t>
      </w:r>
      <w:r w:rsidR="00A57EB7">
        <w:tab/>
      </w:r>
      <w:r>
        <w:t>Technological justification of the enzyme</w:t>
      </w:r>
      <w:bookmarkEnd w:id="90"/>
      <w:bookmarkEnd w:id="91"/>
      <w:bookmarkEnd w:id="92"/>
      <w:bookmarkEnd w:id="93"/>
    </w:p>
    <w:p w14:paraId="0330F5D5" w14:textId="6C20A71A" w:rsidR="00A50469" w:rsidRPr="00A50469" w:rsidRDefault="000F31EB" w:rsidP="00B64595">
      <w:pPr>
        <w:spacing w:after="240"/>
        <w:rPr>
          <w:lang w:bidi="ar-SA"/>
        </w:rPr>
      </w:pPr>
      <w:r>
        <w:rPr>
          <w:lang w:bidi="ar-SA"/>
        </w:rPr>
        <w:t xml:space="preserve">Novozymes claim that this glucoamylase is more efficient than currently permitted glucoamylases. </w:t>
      </w:r>
      <w:r w:rsidR="00A50469" w:rsidRPr="1B1F063A">
        <w:rPr>
          <w:lang w:bidi="ar-SA"/>
        </w:rPr>
        <w:t xml:space="preserve">Novozymes has </w:t>
      </w:r>
      <w:r w:rsidR="00621072" w:rsidRPr="1B1F063A">
        <w:rPr>
          <w:lang w:bidi="ar-SA"/>
        </w:rPr>
        <w:t xml:space="preserve">highlighted the following potential </w:t>
      </w:r>
      <w:r w:rsidR="00410194">
        <w:rPr>
          <w:lang w:bidi="ar-SA"/>
        </w:rPr>
        <w:t xml:space="preserve">functions </w:t>
      </w:r>
      <w:r w:rsidR="00621072" w:rsidRPr="1B1F063A">
        <w:rPr>
          <w:lang w:bidi="ar-SA"/>
        </w:rPr>
        <w:t>provided by the enzyme</w:t>
      </w:r>
      <w:r>
        <w:rPr>
          <w:lang w:bidi="ar-SA"/>
        </w:rPr>
        <w:t xml:space="preserve">. </w:t>
      </w:r>
    </w:p>
    <w:p w14:paraId="1CB88A91" w14:textId="74BE1C49" w:rsidR="00E60051" w:rsidRPr="00953979" w:rsidRDefault="799C8441" w:rsidP="008B6075">
      <w:r>
        <w:t>In baking</w:t>
      </w:r>
      <w:r w:rsidR="273FE9F3">
        <w:t xml:space="preserve"> </w:t>
      </w:r>
      <w:r w:rsidR="7A8332CB">
        <w:t xml:space="preserve">processes, the glucoamylase degrades starch and </w:t>
      </w:r>
      <w:proofErr w:type="spellStart"/>
      <w:r w:rsidR="7A8332CB">
        <w:t>dextrins</w:t>
      </w:r>
      <w:proofErr w:type="spellEnd"/>
      <w:r w:rsidR="7A8332CB">
        <w:t xml:space="preserve"> into glucose that can be fermented by yeast.</w:t>
      </w:r>
      <w:r w:rsidR="3783D08E">
        <w:t xml:space="preserve"> </w:t>
      </w:r>
    </w:p>
    <w:p w14:paraId="57F3E82C" w14:textId="6048F2B9" w:rsidR="3EBADA22" w:rsidRDefault="3EBADA22"/>
    <w:p w14:paraId="2FC450EB" w14:textId="3E7B08E6" w:rsidR="001B0785" w:rsidRDefault="799C8441" w:rsidP="18325358">
      <w:r>
        <w:t xml:space="preserve">In brewing </w:t>
      </w:r>
      <w:r w:rsidR="7A8332CB">
        <w:t>processes</w:t>
      </w:r>
      <w:r w:rsidR="31F5687A">
        <w:t>,</w:t>
      </w:r>
      <w:r w:rsidR="7A8332CB">
        <w:t xml:space="preserve"> the glucoamylase degrades starch into fermentable sugars</w:t>
      </w:r>
      <w:r w:rsidR="3783D08E">
        <w:t>, used to create alcohol</w:t>
      </w:r>
      <w:r w:rsidR="7A8332CB">
        <w:t>.</w:t>
      </w:r>
    </w:p>
    <w:p w14:paraId="144FB200" w14:textId="1898E162" w:rsidR="00E60051" w:rsidRPr="00953979" w:rsidRDefault="00AB0C56" w:rsidP="00B64595">
      <w:pPr>
        <w:pStyle w:val="ListParagraph"/>
        <w:numPr>
          <w:ilvl w:val="0"/>
          <w:numId w:val="9"/>
        </w:numPr>
        <w:spacing w:after="240"/>
      </w:pPr>
      <w:r>
        <w:t>more uniform and predictable production process and brewing yield including the possibility to control the desired level of fermentable sugars</w:t>
      </w:r>
      <w:r w:rsidR="001B0785">
        <w:t xml:space="preserve">. </w:t>
      </w:r>
    </w:p>
    <w:p w14:paraId="3B784C69" w14:textId="2874C77B" w:rsidR="18325358" w:rsidRDefault="799C8441" w:rsidP="18325358">
      <w:r>
        <w:t>In starc</w:t>
      </w:r>
      <w:r w:rsidR="7A8332CB">
        <w:t>h hydrolysis and glucose syrup production</w:t>
      </w:r>
      <w:r w:rsidR="207320A6">
        <w:t>,</w:t>
      </w:r>
      <w:r w:rsidR="7A8332CB">
        <w:t xml:space="preserve"> the glucoamylase degrades polysaccharides into glucose</w:t>
      </w:r>
      <w:r w:rsidR="3783D08E">
        <w:t xml:space="preserve"> for further processing</w:t>
      </w:r>
      <w:r w:rsidR="7A8332CB">
        <w:t>.</w:t>
      </w:r>
    </w:p>
    <w:p w14:paraId="188698F3" w14:textId="0B84A44B" w:rsidR="004273FB" w:rsidRDefault="004273FB" w:rsidP="004273FB">
      <w:pPr>
        <w:pStyle w:val="ListParagraph"/>
        <w:numPr>
          <w:ilvl w:val="0"/>
          <w:numId w:val="9"/>
        </w:numPr>
      </w:pPr>
      <w:r>
        <w:t xml:space="preserve">efficient degradation of </w:t>
      </w:r>
      <w:proofErr w:type="spellStart"/>
      <w:r>
        <w:t>dextrins</w:t>
      </w:r>
      <w:proofErr w:type="spellEnd"/>
      <w:r>
        <w:t xml:space="preserve"> </w:t>
      </w:r>
      <w:r w:rsidR="00C80F06">
        <w:t xml:space="preserve">and production of glucose </w:t>
      </w:r>
    </w:p>
    <w:p w14:paraId="72FF741C" w14:textId="3C5FF437" w:rsidR="00C92A3D" w:rsidRDefault="00C92A3D" w:rsidP="004273FB">
      <w:pPr>
        <w:pStyle w:val="ListParagraph"/>
        <w:numPr>
          <w:ilvl w:val="0"/>
          <w:numId w:val="9"/>
        </w:numPr>
      </w:pPr>
      <w:r>
        <w:t>reduced risk of microbial contamination because of use at high temperatures</w:t>
      </w:r>
    </w:p>
    <w:p w14:paraId="32BA2C13" w14:textId="2B6A63BA" w:rsidR="00C92A3D" w:rsidRDefault="375A5712" w:rsidP="004273FB">
      <w:pPr>
        <w:pStyle w:val="ListParagraph"/>
        <w:numPr>
          <w:ilvl w:val="0"/>
          <w:numId w:val="9"/>
        </w:numPr>
      </w:pPr>
      <w:r>
        <w:t>s</w:t>
      </w:r>
      <w:r w:rsidR="345DFB7F">
        <w:t>table process allowing for variations in pH and temp</w:t>
      </w:r>
    </w:p>
    <w:p w14:paraId="7F3D0902" w14:textId="371E769F" w:rsidR="00C86FDE" w:rsidRPr="00B64595" w:rsidRDefault="3C8AD7C5" w:rsidP="00B64595">
      <w:pPr>
        <w:pStyle w:val="ListParagraph"/>
        <w:numPr>
          <w:ilvl w:val="0"/>
          <w:numId w:val="9"/>
        </w:numPr>
        <w:spacing w:after="240"/>
      </w:pPr>
      <w:r>
        <w:t>increased</w:t>
      </w:r>
      <w:r w:rsidR="345DFB7F">
        <w:t xml:space="preserve"> pur</w:t>
      </w:r>
      <w:r w:rsidR="7CACC886">
        <w:t>ity</w:t>
      </w:r>
      <w:r w:rsidR="345DFB7F">
        <w:t xml:space="preserve"> </w:t>
      </w:r>
      <w:r w:rsidR="2020B820">
        <w:t xml:space="preserve">of the </w:t>
      </w:r>
      <w:r w:rsidR="345DFB7F">
        <w:t xml:space="preserve">product compared to acid-acid process </w:t>
      </w:r>
    </w:p>
    <w:p w14:paraId="04A9CD10" w14:textId="5B6A5D90" w:rsidR="002E318E" w:rsidRDefault="000719EF" w:rsidP="00136983">
      <w:pPr>
        <w:spacing w:after="240"/>
      </w:pPr>
      <w:r>
        <w:t>Novozymes’s</w:t>
      </w:r>
      <w:r w:rsidR="7ED6ABE3">
        <w:t xml:space="preserve"> glucoamylase enables the effective hydrolysis of glucose from</w:t>
      </w:r>
      <w:r w:rsidR="5779C271">
        <w:t xml:space="preserve"> starches. Baking, brewin</w:t>
      </w:r>
      <w:r w:rsidR="696AA2B7">
        <w:t>g</w:t>
      </w:r>
      <w:r w:rsidR="5779C271">
        <w:t xml:space="preserve"> and </w:t>
      </w:r>
      <w:r w:rsidR="7E891782">
        <w:t>starch hydrolysis may use different starches</w:t>
      </w:r>
      <w:r w:rsidR="7653BA77">
        <w:t xml:space="preserve"> (e.g. flour or malt)</w:t>
      </w:r>
      <w:r w:rsidR="7E891782">
        <w:t xml:space="preserve"> in their production</w:t>
      </w:r>
      <w:r w:rsidR="5462D828">
        <w:t>,</w:t>
      </w:r>
      <w:r w:rsidR="7E891782">
        <w:t xml:space="preserve"> with glucoamylase enabling </w:t>
      </w:r>
      <w:r w:rsidR="696AA2B7">
        <w:t>removal of gluc</w:t>
      </w:r>
      <w:r w:rsidR="7653BA77">
        <w:t xml:space="preserve">ose during each process. </w:t>
      </w:r>
    </w:p>
    <w:p w14:paraId="347F8BF8" w14:textId="10BB858C" w:rsidR="00B90DA8" w:rsidRDefault="066055F7" w:rsidP="00136983">
      <w:pPr>
        <w:spacing w:after="240"/>
      </w:pPr>
      <w:r>
        <w:t>In baking</w:t>
      </w:r>
      <w:r w:rsidR="58E646C9">
        <w:t>,</w:t>
      </w:r>
      <w:r>
        <w:t xml:space="preserve"> the availability of the glucose assists with the yeas</w:t>
      </w:r>
      <w:r w:rsidR="12C89E8B">
        <w:t>t functionality</w:t>
      </w:r>
      <w:r w:rsidR="44D44A07">
        <w:t xml:space="preserve"> by providing an energy source for yeast to ferment. </w:t>
      </w:r>
      <w:r w:rsidR="46CAE410">
        <w:t>Glucoamylase is also used to improve crust colour and enhance the quality of high f</w:t>
      </w:r>
      <w:r w:rsidR="67E82879">
        <w:t>ibre products (Raveendran et al</w:t>
      </w:r>
      <w:r w:rsidR="42DFBAB0">
        <w:t>.</w:t>
      </w:r>
      <w:r w:rsidR="46CAE410">
        <w:t xml:space="preserve"> 2018). </w:t>
      </w:r>
      <w:r w:rsidR="44D44A07">
        <w:t xml:space="preserve">In brewing, </w:t>
      </w:r>
      <w:r w:rsidR="390BF82E">
        <w:t xml:space="preserve">the enzyme can be added during fermentation to metabolise </w:t>
      </w:r>
      <w:proofErr w:type="spellStart"/>
      <w:r w:rsidR="390BF82E">
        <w:t>dextrins</w:t>
      </w:r>
      <w:proofErr w:type="spellEnd"/>
      <w:r w:rsidR="390BF82E">
        <w:t xml:space="preserve"> (residual carbohydrates)</w:t>
      </w:r>
      <w:r w:rsidR="70C49E1E">
        <w:t xml:space="preserve"> turning them into fermentable sugars, which</w:t>
      </w:r>
      <w:r w:rsidR="178857CB">
        <w:t xml:space="preserve"> affects alcohol levels (Blanco et al. </w:t>
      </w:r>
      <w:r w:rsidR="70C49E1E">
        <w:t>2014).</w:t>
      </w:r>
      <w:r w:rsidR="7450739D">
        <w:t xml:space="preserve"> In starc</w:t>
      </w:r>
      <w:r w:rsidR="46CAE410">
        <w:t xml:space="preserve">h hydrolysis </w:t>
      </w:r>
      <w:r w:rsidR="026CBBF2">
        <w:t>to produce</w:t>
      </w:r>
      <w:r w:rsidR="46CAE410">
        <w:t xml:space="preserve"> glucose syrups</w:t>
      </w:r>
      <w:r w:rsidR="24DFFC84">
        <w:t>,</w:t>
      </w:r>
      <w:r w:rsidR="46CAE410">
        <w:t xml:space="preserve"> this enzyme is beneficial due to it being able to withstand higher temperatures, reducing the risk of microbial growth. </w:t>
      </w:r>
    </w:p>
    <w:p w14:paraId="77F3B28E" w14:textId="5BB612BE" w:rsidR="00621072" w:rsidRDefault="172655B7" w:rsidP="00136983">
      <w:pPr>
        <w:spacing w:after="240"/>
      </w:pPr>
      <w:r>
        <w:t xml:space="preserve">A study published by the European Food Safety Authority (EFSA) on the safety of the food enzyme, glucoamylase </w:t>
      </w:r>
      <w:r w:rsidR="777171D0">
        <w:t xml:space="preserve">from a GM </w:t>
      </w:r>
      <w:r w:rsidR="777171D0" w:rsidRPr="3EBADA22">
        <w:rPr>
          <w:i/>
          <w:iCs/>
        </w:rPr>
        <w:t>A. niger</w:t>
      </w:r>
      <w:r w:rsidR="41B90E40" w:rsidRPr="3EBADA22">
        <w:rPr>
          <w:i/>
          <w:iCs/>
        </w:rPr>
        <w:t xml:space="preserve">, </w:t>
      </w:r>
      <w:r w:rsidR="5752BF11">
        <w:t xml:space="preserve">considered the same </w:t>
      </w:r>
      <w:r w:rsidR="288FC936">
        <w:t>functions</w:t>
      </w:r>
      <w:r w:rsidR="66E408D4">
        <w:t xml:space="preserve"> </w:t>
      </w:r>
      <w:r w:rsidR="77F81472">
        <w:t xml:space="preserve">as the scope of the current application </w:t>
      </w:r>
      <w:r w:rsidR="66E408D4">
        <w:t>(EFSA 2018)</w:t>
      </w:r>
      <w:r w:rsidR="0C76B907">
        <w:t xml:space="preserve"> </w:t>
      </w:r>
      <w:r w:rsidR="17A0D572">
        <w:t xml:space="preserve">and found the enzyme to be safe for the intended uses. </w:t>
      </w:r>
    </w:p>
    <w:p w14:paraId="4EEBB703" w14:textId="00415391" w:rsidR="00C86FDE" w:rsidRPr="00C86FDE" w:rsidRDefault="144C2594" w:rsidP="18325358">
      <w:pPr>
        <w:rPr>
          <w:lang w:bidi="ar-SA"/>
        </w:rPr>
      </w:pPr>
      <w:r w:rsidRPr="3EBADA22">
        <w:rPr>
          <w:lang w:bidi="ar-SA"/>
        </w:rPr>
        <w:t xml:space="preserve">Glucoamylase enzymes from multiple sources have already been approved for use in many countries. An </w:t>
      </w:r>
      <w:r w:rsidR="30A54318" w:rsidRPr="3EBADA22">
        <w:rPr>
          <w:lang w:bidi="ar-SA"/>
        </w:rPr>
        <w:t>independent</w:t>
      </w:r>
      <w:r w:rsidRPr="3EBADA22">
        <w:rPr>
          <w:lang w:bidi="ar-SA"/>
        </w:rPr>
        <w:t xml:space="preserve"> safety assessment completed by </w:t>
      </w:r>
      <w:r w:rsidR="4B8319AB" w:rsidRPr="3EBADA22">
        <w:rPr>
          <w:lang w:bidi="ar-SA"/>
        </w:rPr>
        <w:t>the Danish Veterinary and Food Administration was provided</w:t>
      </w:r>
      <w:r w:rsidR="5ABF7584" w:rsidRPr="3EBADA22">
        <w:rPr>
          <w:lang w:bidi="ar-SA"/>
        </w:rPr>
        <w:t xml:space="preserve"> by Novozymes</w:t>
      </w:r>
      <w:r w:rsidR="4B8319AB" w:rsidRPr="3EBADA22">
        <w:rPr>
          <w:lang w:bidi="ar-SA"/>
        </w:rPr>
        <w:t xml:space="preserve"> and reviewed as part of this assessment. </w:t>
      </w:r>
    </w:p>
    <w:p w14:paraId="24B10AFF" w14:textId="2A98CF94" w:rsidR="00A57EB7" w:rsidRDefault="00A57EB7" w:rsidP="00F42F9D">
      <w:pPr>
        <w:pStyle w:val="Heading2"/>
      </w:pPr>
      <w:bookmarkStart w:id="94" w:name="_Toc472327053"/>
      <w:bookmarkStart w:id="95" w:name="_Toc501699827"/>
      <w:bookmarkStart w:id="96" w:name="_Toc59030972"/>
      <w:bookmarkStart w:id="97" w:name="_Toc90553182"/>
      <w:bookmarkStart w:id="98" w:name="_Toc90641275"/>
      <w:bookmarkStart w:id="99" w:name="_Toc90649538"/>
      <w:bookmarkStart w:id="100" w:name="_Toc90983306"/>
      <w:bookmarkStart w:id="101" w:name="_Toc94530988"/>
      <w:bookmarkStart w:id="102" w:name="_Toc100321336"/>
      <w:bookmarkStart w:id="103" w:name="_Toc100325021"/>
      <w:bookmarkStart w:id="104" w:name="_Toc109984715"/>
      <w:r>
        <w:t>2.5</w:t>
      </w:r>
      <w:r>
        <w:tab/>
        <w:t>Food technology conclusion</w:t>
      </w:r>
      <w:bookmarkEnd w:id="94"/>
      <w:bookmarkEnd w:id="95"/>
      <w:bookmarkEnd w:id="96"/>
      <w:bookmarkEnd w:id="97"/>
      <w:bookmarkEnd w:id="98"/>
      <w:bookmarkEnd w:id="99"/>
      <w:bookmarkEnd w:id="100"/>
      <w:bookmarkEnd w:id="101"/>
      <w:bookmarkEnd w:id="102"/>
      <w:bookmarkEnd w:id="103"/>
      <w:bookmarkEnd w:id="104"/>
    </w:p>
    <w:p w14:paraId="6867C5C2" w14:textId="30877435" w:rsidR="00BD78E9" w:rsidRDefault="7ED6ABE3" w:rsidP="00136983">
      <w:pPr>
        <w:spacing w:after="240"/>
        <w:rPr>
          <w:lang w:bidi="ar-SA"/>
        </w:rPr>
      </w:pPr>
      <w:r w:rsidRPr="3EBADA22">
        <w:rPr>
          <w:lang w:bidi="ar-SA"/>
        </w:rPr>
        <w:t xml:space="preserve">FSANZ concludes that the proposed use of glucoamylase from GM </w:t>
      </w:r>
      <w:r w:rsidRPr="3EBADA22">
        <w:rPr>
          <w:i/>
          <w:iCs/>
          <w:lang w:bidi="ar-SA"/>
        </w:rPr>
        <w:t>A</w:t>
      </w:r>
      <w:r w:rsidRPr="3EBADA22">
        <w:rPr>
          <w:lang w:bidi="ar-SA"/>
        </w:rPr>
        <w:t xml:space="preserve">. </w:t>
      </w:r>
      <w:r w:rsidRPr="3EBADA22">
        <w:rPr>
          <w:i/>
          <w:iCs/>
          <w:lang w:bidi="ar-SA"/>
        </w:rPr>
        <w:t>niger</w:t>
      </w:r>
      <w:r w:rsidRPr="3EBADA22">
        <w:rPr>
          <w:lang w:bidi="ar-SA"/>
        </w:rPr>
        <w:t xml:space="preserve"> as a processing aid in </w:t>
      </w:r>
      <w:r>
        <w:t xml:space="preserve">baking processes, brewing processes and </w:t>
      </w:r>
      <w:r w:rsidR="200D1C53">
        <w:t>starch processing for the production of starch hydrolysates, including glucose syrups</w:t>
      </w:r>
      <w:r w:rsidR="42588EB0">
        <w:t>,</w:t>
      </w:r>
      <w:r w:rsidR="200D1C53">
        <w:t xml:space="preserve"> </w:t>
      </w:r>
      <w:r w:rsidRPr="3EBADA22">
        <w:rPr>
          <w:lang w:bidi="ar-SA"/>
        </w:rPr>
        <w:t xml:space="preserve">is consistent with </w:t>
      </w:r>
      <w:r w:rsidR="1895592B" w:rsidRPr="3EBADA22">
        <w:rPr>
          <w:lang w:bidi="ar-SA"/>
        </w:rPr>
        <w:t>its known technological function</w:t>
      </w:r>
      <w:r w:rsidRPr="3EBADA22">
        <w:rPr>
          <w:lang w:bidi="ar-SA"/>
        </w:rPr>
        <w:t xml:space="preserve"> of </w:t>
      </w:r>
      <w:r w:rsidR="00A66232" w:rsidRPr="3EBADA22">
        <w:rPr>
          <w:lang w:bidi="ar-SA"/>
        </w:rPr>
        <w:t>hydrolysing</w:t>
      </w:r>
      <w:r w:rsidR="40BAA9BA" w:rsidRPr="3EBADA22">
        <w:rPr>
          <w:lang w:bidi="ar-SA"/>
        </w:rPr>
        <w:t xml:space="preserve"> carbohydrates</w:t>
      </w:r>
      <w:r w:rsidR="1895592B" w:rsidRPr="3EBADA22">
        <w:rPr>
          <w:lang w:bidi="ar-SA"/>
        </w:rPr>
        <w:t xml:space="preserve"> </w:t>
      </w:r>
      <w:r w:rsidR="03553077" w:rsidRPr="3EBADA22">
        <w:rPr>
          <w:lang w:bidi="ar-SA"/>
        </w:rPr>
        <w:t>to</w:t>
      </w:r>
      <w:r w:rsidR="1895592B" w:rsidRPr="3EBADA22">
        <w:rPr>
          <w:lang w:bidi="ar-SA"/>
        </w:rPr>
        <w:t xml:space="preserve"> release of </w:t>
      </w:r>
      <w:r w:rsidRPr="3EBADA22">
        <w:rPr>
          <w:lang w:bidi="ar-SA"/>
        </w:rPr>
        <w:t>glucose. Analysis of the evidence provides adequate assurance that the use of this enzyme, in the quantity and form proposed to be used at levels consistent with GMP, is technologically justified. The enzyme meets international purity specifications.</w:t>
      </w:r>
    </w:p>
    <w:p w14:paraId="45D2E0BE" w14:textId="3F6D2612" w:rsidR="00BD78E9" w:rsidRDefault="00BD78E9" w:rsidP="00136983">
      <w:pPr>
        <w:spacing w:after="240"/>
        <w:rPr>
          <w:lang w:eastAsia="en-AU" w:bidi="ar-SA"/>
        </w:rPr>
      </w:pPr>
      <w:r>
        <w:rPr>
          <w:lang w:eastAsia="en-AU" w:bidi="ar-SA"/>
        </w:rPr>
        <w:t xml:space="preserve">Glucoamylase performs its technological purpose during the production of food and is not performing a technological purpose in the final food. </w:t>
      </w:r>
      <w:r w:rsidRPr="00F00B9A">
        <w:t xml:space="preserve">It is therefore appropriately categorised </w:t>
      </w:r>
      <w:r w:rsidRPr="00F00B9A">
        <w:lastRenderedPageBreak/>
        <w:t xml:space="preserve">as a processing aid </w:t>
      </w:r>
      <w:r>
        <w:t>as defined in the Code</w:t>
      </w:r>
      <w:r w:rsidRPr="00F00B9A">
        <w:t>.</w:t>
      </w:r>
    </w:p>
    <w:p w14:paraId="436037AF" w14:textId="78C53EAA" w:rsidR="00BD78E9" w:rsidRPr="00BD78E9" w:rsidRDefault="00BD78E9" w:rsidP="00BD78E9">
      <w:pPr>
        <w:rPr>
          <w:lang w:bidi="ar-SA"/>
        </w:rPr>
      </w:pPr>
      <w:r>
        <w:rPr>
          <w:lang w:eastAsia="en-AU" w:bidi="ar-SA"/>
        </w:rPr>
        <w:t>There are relevant identity and purity specifications for the enzyme in the Code and the applicant provided evidence that the enzyme meets these specifications.</w:t>
      </w:r>
    </w:p>
    <w:p w14:paraId="784195D8" w14:textId="77777777" w:rsidR="00672E4D" w:rsidRDefault="00672E4D" w:rsidP="00672E4D">
      <w:pPr>
        <w:pStyle w:val="Heading1"/>
      </w:pPr>
      <w:bookmarkStart w:id="105" w:name="_Toc505255637"/>
      <w:bookmarkStart w:id="106" w:name="_Toc536543995"/>
      <w:bookmarkStart w:id="107" w:name="_Toc536607130"/>
      <w:bookmarkStart w:id="108" w:name="_Toc30154603"/>
      <w:bookmarkStart w:id="109" w:name="_Toc85204766"/>
      <w:bookmarkStart w:id="110" w:name="_Toc85211328"/>
      <w:bookmarkStart w:id="111" w:name="_Toc87259303"/>
      <w:bookmarkStart w:id="112" w:name="_Toc92790204"/>
      <w:bookmarkStart w:id="113" w:name="_Toc100321337"/>
      <w:bookmarkStart w:id="114" w:name="_Toc100325022"/>
      <w:bookmarkStart w:id="115" w:name="_Toc109984716"/>
      <w:r w:rsidRPr="001E6A7B">
        <w:t xml:space="preserve">3 </w:t>
      </w:r>
      <w:r>
        <w:tab/>
      </w:r>
      <w:r w:rsidRPr="001E6A7B">
        <w:t>Safety assessment</w:t>
      </w:r>
      <w:bookmarkStart w:id="116" w:name="_Toc471740081"/>
      <w:bookmarkStart w:id="117" w:name="_Toc499282437"/>
      <w:bookmarkEnd w:id="105"/>
      <w:bookmarkEnd w:id="106"/>
      <w:bookmarkEnd w:id="107"/>
      <w:bookmarkEnd w:id="108"/>
      <w:bookmarkEnd w:id="109"/>
      <w:bookmarkEnd w:id="110"/>
      <w:bookmarkEnd w:id="111"/>
      <w:bookmarkEnd w:id="112"/>
      <w:bookmarkEnd w:id="113"/>
      <w:bookmarkEnd w:id="114"/>
      <w:bookmarkEnd w:id="115"/>
    </w:p>
    <w:p w14:paraId="3409E9CA" w14:textId="77777777" w:rsidR="00672E4D" w:rsidRDefault="00672E4D" w:rsidP="00F42F9D">
      <w:pPr>
        <w:pStyle w:val="Heading2"/>
      </w:pPr>
      <w:bookmarkStart w:id="118" w:name="_Toc471740085"/>
      <w:bookmarkStart w:id="119" w:name="_Toc499282440"/>
      <w:bookmarkStart w:id="120" w:name="_Toc505255639"/>
      <w:bookmarkStart w:id="121" w:name="_Toc536543996"/>
      <w:bookmarkStart w:id="122" w:name="_Toc536607131"/>
      <w:bookmarkStart w:id="123" w:name="_Toc30154604"/>
      <w:bookmarkStart w:id="124" w:name="_Toc85204767"/>
      <w:bookmarkStart w:id="125" w:name="_Toc85211329"/>
      <w:bookmarkStart w:id="126" w:name="_Toc87259304"/>
      <w:bookmarkStart w:id="127" w:name="_Toc92790205"/>
      <w:bookmarkStart w:id="128" w:name="_Toc100321338"/>
      <w:bookmarkStart w:id="129" w:name="_Toc100325023"/>
      <w:bookmarkStart w:id="130" w:name="_Toc109984717"/>
      <w:bookmarkEnd w:id="116"/>
      <w:bookmarkEnd w:id="117"/>
      <w:r w:rsidRPr="006C2969">
        <w:t>3.</w:t>
      </w:r>
      <w:bookmarkEnd w:id="118"/>
      <w:r>
        <w:t>1</w:t>
      </w:r>
      <w:r>
        <w:tab/>
      </w:r>
      <w:r w:rsidRPr="006C2969">
        <w:t>History of use</w:t>
      </w:r>
      <w:bookmarkEnd w:id="119"/>
      <w:bookmarkEnd w:id="120"/>
      <w:bookmarkEnd w:id="121"/>
      <w:bookmarkEnd w:id="122"/>
      <w:bookmarkEnd w:id="123"/>
      <w:bookmarkEnd w:id="124"/>
      <w:bookmarkEnd w:id="125"/>
      <w:bookmarkEnd w:id="126"/>
      <w:bookmarkEnd w:id="127"/>
      <w:bookmarkEnd w:id="128"/>
      <w:bookmarkEnd w:id="129"/>
      <w:bookmarkEnd w:id="130"/>
    </w:p>
    <w:p w14:paraId="7B5ABE26" w14:textId="542B6BB4" w:rsidR="00672E4D" w:rsidRDefault="00672E4D" w:rsidP="00672E4D">
      <w:pPr>
        <w:pStyle w:val="Heading3"/>
      </w:pPr>
      <w:bookmarkStart w:id="131" w:name="_Toc498940968"/>
      <w:bookmarkStart w:id="132" w:name="_Toc499282441"/>
      <w:bookmarkStart w:id="133" w:name="_Toc536543997"/>
      <w:bookmarkStart w:id="134" w:name="_Toc536607132"/>
      <w:bookmarkStart w:id="135" w:name="_Toc30154605"/>
      <w:bookmarkStart w:id="136" w:name="_Toc85204768"/>
      <w:bookmarkStart w:id="137" w:name="_Toc85211330"/>
      <w:bookmarkStart w:id="138" w:name="_Toc87259305"/>
      <w:bookmarkStart w:id="139" w:name="_Toc92790206"/>
      <w:bookmarkStart w:id="140" w:name="_Toc100321339"/>
      <w:bookmarkStart w:id="141" w:name="_Toc100325024"/>
      <w:bookmarkStart w:id="142" w:name="_Toc109984718"/>
      <w:r>
        <w:t>3.1.1</w:t>
      </w:r>
      <w:r>
        <w:tab/>
        <w:t>Host organism</w:t>
      </w:r>
      <w:bookmarkEnd w:id="131"/>
      <w:bookmarkEnd w:id="132"/>
      <w:bookmarkEnd w:id="133"/>
      <w:bookmarkEnd w:id="134"/>
      <w:bookmarkEnd w:id="135"/>
      <w:bookmarkEnd w:id="136"/>
      <w:bookmarkEnd w:id="137"/>
      <w:bookmarkEnd w:id="138"/>
      <w:bookmarkEnd w:id="139"/>
      <w:bookmarkEnd w:id="140"/>
      <w:bookmarkEnd w:id="141"/>
      <w:bookmarkEnd w:id="142"/>
    </w:p>
    <w:p w14:paraId="74969346" w14:textId="7DCEEB1B" w:rsidR="00107DC2" w:rsidRPr="00107DC2" w:rsidRDefault="000B17CE" w:rsidP="00107DC2">
      <w:pPr>
        <w:rPr>
          <w:lang w:eastAsia="en-AU" w:bidi="ar-SA"/>
        </w:rPr>
      </w:pPr>
      <w:r w:rsidRPr="000B17CE">
        <w:rPr>
          <w:i/>
          <w:lang w:eastAsia="en-AU" w:bidi="ar-SA"/>
        </w:rPr>
        <w:t>A</w:t>
      </w:r>
      <w:r w:rsidRPr="000B17CE">
        <w:rPr>
          <w:lang w:eastAsia="en-AU" w:bidi="ar-SA"/>
        </w:rPr>
        <w:t xml:space="preserve">. </w:t>
      </w:r>
      <w:r w:rsidRPr="000B17CE">
        <w:rPr>
          <w:i/>
          <w:lang w:eastAsia="en-AU" w:bidi="ar-SA"/>
        </w:rPr>
        <w:t>niger</w:t>
      </w:r>
      <w:r w:rsidRPr="000B17CE">
        <w:rPr>
          <w:lang w:eastAsia="en-AU" w:bidi="ar-SA"/>
        </w:rPr>
        <w:t xml:space="preserve"> is widely used as a production organism and host for the manufacture of food ingredients and enzymes. </w:t>
      </w:r>
      <w:r w:rsidRPr="000B17CE">
        <w:rPr>
          <w:i/>
          <w:lang w:eastAsia="en-AU" w:bidi="ar-SA"/>
        </w:rPr>
        <w:t>A</w:t>
      </w:r>
      <w:r w:rsidRPr="000B17CE">
        <w:rPr>
          <w:lang w:eastAsia="en-AU" w:bidi="ar-SA"/>
        </w:rPr>
        <w:t xml:space="preserve">. </w:t>
      </w:r>
      <w:r w:rsidRPr="000B17CE">
        <w:rPr>
          <w:i/>
          <w:lang w:eastAsia="en-AU" w:bidi="ar-SA"/>
        </w:rPr>
        <w:t>niger</w:t>
      </w:r>
      <w:r w:rsidRPr="000B17CE">
        <w:rPr>
          <w:lang w:eastAsia="en-AU" w:bidi="ar-SA"/>
        </w:rPr>
        <w:t xml:space="preserve"> is recognised as neither pathogenic nor toxigenic. FSANZ has previously assessed the safety of host organisms from the </w:t>
      </w:r>
      <w:r w:rsidRPr="000B17CE">
        <w:rPr>
          <w:i/>
          <w:lang w:eastAsia="en-AU" w:bidi="ar-SA"/>
        </w:rPr>
        <w:t>A</w:t>
      </w:r>
      <w:r w:rsidRPr="000B17CE">
        <w:rPr>
          <w:lang w:eastAsia="en-AU" w:bidi="ar-SA"/>
        </w:rPr>
        <w:t xml:space="preserve">. </w:t>
      </w:r>
      <w:r w:rsidRPr="000B17CE">
        <w:rPr>
          <w:i/>
          <w:lang w:eastAsia="en-AU" w:bidi="ar-SA"/>
        </w:rPr>
        <w:t>niger</w:t>
      </w:r>
      <w:r w:rsidRPr="000B17CE">
        <w:rPr>
          <w:lang w:eastAsia="en-AU" w:bidi="ar-SA"/>
        </w:rPr>
        <w:t xml:space="preserve"> BO-1 strain lineage most recently in applications A1221 and A1248. The identity of the host organism was determined using standard molecular techniques (</w:t>
      </w:r>
      <w:proofErr w:type="spellStart"/>
      <w:r w:rsidRPr="000B17CE">
        <w:rPr>
          <w:lang w:eastAsia="en-AU" w:bidi="ar-SA"/>
        </w:rPr>
        <w:t>Houbraken</w:t>
      </w:r>
      <w:proofErr w:type="spellEnd"/>
      <w:r w:rsidRPr="000B17CE">
        <w:rPr>
          <w:lang w:eastAsia="en-AU" w:bidi="ar-SA"/>
        </w:rPr>
        <w:t xml:space="preserve"> et al</w:t>
      </w:r>
      <w:r w:rsidR="00741E68">
        <w:rPr>
          <w:lang w:eastAsia="en-AU" w:bidi="ar-SA"/>
        </w:rPr>
        <w:t>.</w:t>
      </w:r>
      <w:r w:rsidRPr="000B17CE">
        <w:rPr>
          <w:lang w:eastAsia="en-AU" w:bidi="ar-SA"/>
        </w:rPr>
        <w:t xml:space="preserve"> 2020).</w:t>
      </w:r>
    </w:p>
    <w:p w14:paraId="633DBADA" w14:textId="5045D39F" w:rsidR="00672E4D" w:rsidRDefault="00672E4D" w:rsidP="00672E4D">
      <w:pPr>
        <w:pStyle w:val="Heading3"/>
      </w:pPr>
      <w:bookmarkStart w:id="143" w:name="_Toc30154606"/>
      <w:bookmarkStart w:id="144" w:name="_Toc85204769"/>
      <w:bookmarkStart w:id="145" w:name="_Toc85211331"/>
      <w:bookmarkStart w:id="146" w:name="_Toc87259306"/>
      <w:bookmarkStart w:id="147" w:name="_Toc92790207"/>
      <w:bookmarkStart w:id="148" w:name="_Toc100321340"/>
      <w:bookmarkStart w:id="149" w:name="_Toc100325025"/>
      <w:bookmarkStart w:id="150" w:name="_Toc109984719"/>
      <w:r>
        <w:t>3.1.2</w:t>
      </w:r>
      <w:r>
        <w:tab/>
        <w:t>Gene donor organism</w:t>
      </w:r>
      <w:bookmarkEnd w:id="143"/>
      <w:bookmarkEnd w:id="144"/>
      <w:bookmarkEnd w:id="145"/>
      <w:bookmarkEnd w:id="146"/>
      <w:bookmarkEnd w:id="147"/>
      <w:bookmarkEnd w:id="148"/>
      <w:bookmarkEnd w:id="149"/>
      <w:bookmarkEnd w:id="150"/>
    </w:p>
    <w:p w14:paraId="42741AAA" w14:textId="550E2A65" w:rsidR="00107DC2" w:rsidRPr="00107DC2" w:rsidRDefault="00742013" w:rsidP="00107DC2">
      <w:pPr>
        <w:rPr>
          <w:lang w:eastAsia="en-AU" w:bidi="ar-SA"/>
        </w:rPr>
      </w:pPr>
      <w:r>
        <w:rPr>
          <w:lang w:eastAsia="en-AU" w:bidi="ar-SA"/>
        </w:rPr>
        <w:t xml:space="preserve">The donor of the glucoamylase gene is identified as </w:t>
      </w:r>
      <w:r w:rsidRPr="00742013">
        <w:rPr>
          <w:i/>
          <w:lang w:eastAsia="en-AU" w:bidi="ar-SA"/>
        </w:rPr>
        <w:t>P</w:t>
      </w:r>
      <w:r>
        <w:rPr>
          <w:lang w:eastAsia="en-AU" w:bidi="ar-SA"/>
        </w:rPr>
        <w:t xml:space="preserve">. </w:t>
      </w:r>
      <w:r w:rsidRPr="00742013">
        <w:rPr>
          <w:i/>
          <w:lang w:eastAsia="en-AU" w:bidi="ar-SA"/>
        </w:rPr>
        <w:t>oxalicum</w:t>
      </w:r>
      <w:r>
        <w:rPr>
          <w:lang w:eastAsia="en-AU" w:bidi="ar-SA"/>
        </w:rPr>
        <w:t xml:space="preserve">. The species name </w:t>
      </w:r>
      <w:r w:rsidRPr="00742013">
        <w:rPr>
          <w:i/>
          <w:lang w:eastAsia="en-AU" w:bidi="ar-SA"/>
        </w:rPr>
        <w:t>P</w:t>
      </w:r>
      <w:r>
        <w:rPr>
          <w:lang w:eastAsia="en-AU" w:bidi="ar-SA"/>
        </w:rPr>
        <w:t xml:space="preserve">. </w:t>
      </w:r>
      <w:r w:rsidRPr="00742013">
        <w:rPr>
          <w:i/>
          <w:lang w:eastAsia="en-AU" w:bidi="ar-SA"/>
        </w:rPr>
        <w:t>oxalicum</w:t>
      </w:r>
      <w:r>
        <w:rPr>
          <w:lang w:eastAsia="en-AU" w:bidi="ar-SA"/>
        </w:rPr>
        <w:t xml:space="preserve"> is accepted in the genus </w:t>
      </w:r>
      <w:r w:rsidRPr="00742013">
        <w:rPr>
          <w:i/>
          <w:lang w:eastAsia="en-AU" w:bidi="ar-SA"/>
        </w:rPr>
        <w:t>Penicillium</w:t>
      </w:r>
      <w:r>
        <w:rPr>
          <w:lang w:eastAsia="en-AU" w:bidi="ar-SA"/>
        </w:rPr>
        <w:t xml:space="preserve"> </w:t>
      </w:r>
      <w:r w:rsidRPr="000B17CE">
        <w:rPr>
          <w:lang w:eastAsia="en-AU" w:bidi="ar-SA"/>
        </w:rPr>
        <w:t>(</w:t>
      </w:r>
      <w:proofErr w:type="spellStart"/>
      <w:r w:rsidRPr="000B17CE">
        <w:rPr>
          <w:lang w:eastAsia="en-AU" w:bidi="ar-SA"/>
        </w:rPr>
        <w:t>Houbraken</w:t>
      </w:r>
      <w:proofErr w:type="spellEnd"/>
      <w:r w:rsidRPr="000B17CE">
        <w:rPr>
          <w:lang w:eastAsia="en-AU" w:bidi="ar-SA"/>
        </w:rPr>
        <w:t xml:space="preserve"> et al</w:t>
      </w:r>
      <w:r w:rsidR="00741E68">
        <w:rPr>
          <w:lang w:eastAsia="en-AU" w:bidi="ar-SA"/>
        </w:rPr>
        <w:t>.</w:t>
      </w:r>
      <w:r w:rsidRPr="000B17CE">
        <w:rPr>
          <w:lang w:eastAsia="en-AU" w:bidi="ar-SA"/>
        </w:rPr>
        <w:t xml:space="preserve"> 2020)</w:t>
      </w:r>
      <w:r>
        <w:rPr>
          <w:lang w:eastAsia="en-AU" w:bidi="ar-SA"/>
        </w:rPr>
        <w:t xml:space="preserve">. </w:t>
      </w:r>
    </w:p>
    <w:p w14:paraId="5236318F" w14:textId="77777777" w:rsidR="00672E4D" w:rsidRDefault="00672E4D" w:rsidP="00F42F9D">
      <w:pPr>
        <w:pStyle w:val="Heading2"/>
      </w:pPr>
      <w:bookmarkStart w:id="151" w:name="_Toc499282443"/>
      <w:bookmarkStart w:id="152" w:name="_Toc505255640"/>
      <w:bookmarkStart w:id="153" w:name="_Toc536543999"/>
      <w:bookmarkStart w:id="154" w:name="_Toc536607134"/>
      <w:bookmarkStart w:id="155" w:name="_Toc30154607"/>
      <w:bookmarkStart w:id="156" w:name="_Toc85204770"/>
      <w:bookmarkStart w:id="157" w:name="_Toc85211332"/>
      <w:bookmarkStart w:id="158" w:name="_Toc87259307"/>
      <w:bookmarkStart w:id="159" w:name="_Toc92790208"/>
      <w:bookmarkStart w:id="160" w:name="_Toc100321341"/>
      <w:bookmarkStart w:id="161" w:name="_Toc100325026"/>
      <w:bookmarkStart w:id="162" w:name="_Toc109984720"/>
      <w:r>
        <w:t>3.2</w:t>
      </w:r>
      <w:r>
        <w:tab/>
        <w:t>Characterisation of the genetic modification(s)</w:t>
      </w:r>
      <w:bookmarkEnd w:id="151"/>
      <w:bookmarkEnd w:id="152"/>
      <w:bookmarkEnd w:id="153"/>
      <w:bookmarkEnd w:id="154"/>
      <w:bookmarkEnd w:id="155"/>
      <w:bookmarkEnd w:id="156"/>
      <w:bookmarkEnd w:id="157"/>
      <w:bookmarkEnd w:id="158"/>
      <w:bookmarkEnd w:id="159"/>
      <w:bookmarkEnd w:id="160"/>
      <w:bookmarkEnd w:id="161"/>
      <w:bookmarkEnd w:id="162"/>
    </w:p>
    <w:p w14:paraId="0418182A" w14:textId="00419C02" w:rsidR="00672E4D" w:rsidRDefault="00672E4D" w:rsidP="00672E4D">
      <w:pPr>
        <w:pStyle w:val="Heading3"/>
      </w:pPr>
      <w:bookmarkStart w:id="163" w:name="_Toc85204771"/>
      <w:bookmarkStart w:id="164" w:name="_Toc85211333"/>
      <w:bookmarkStart w:id="165" w:name="_Toc87259308"/>
      <w:bookmarkStart w:id="166" w:name="_Toc92790209"/>
      <w:bookmarkStart w:id="167" w:name="_Toc100321342"/>
      <w:bookmarkStart w:id="168" w:name="_Toc100325027"/>
      <w:bookmarkStart w:id="169" w:name="_Toc109984721"/>
      <w:r>
        <w:t>3.2.1</w:t>
      </w:r>
      <w:r>
        <w:tab/>
        <w:t>Description of the DNA to be introduced and method of transformation</w:t>
      </w:r>
      <w:bookmarkEnd w:id="163"/>
      <w:bookmarkEnd w:id="164"/>
      <w:bookmarkEnd w:id="165"/>
      <w:bookmarkEnd w:id="166"/>
      <w:bookmarkEnd w:id="167"/>
      <w:bookmarkEnd w:id="168"/>
      <w:bookmarkEnd w:id="169"/>
    </w:p>
    <w:p w14:paraId="58183E11" w14:textId="720FA80F" w:rsidR="00F652C8" w:rsidRDefault="476C2A23" w:rsidP="00256576">
      <w:pPr>
        <w:spacing w:after="240"/>
        <w:rPr>
          <w:lang w:eastAsia="en-AU" w:bidi="ar-SA"/>
        </w:rPr>
      </w:pPr>
      <w:r w:rsidRPr="62495930">
        <w:rPr>
          <w:lang w:eastAsia="en-AU" w:bidi="ar-SA"/>
        </w:rPr>
        <w:t xml:space="preserve">An expression cassette containing the glucoamylase gene was introduced into the </w:t>
      </w:r>
      <w:r w:rsidRPr="62495930">
        <w:rPr>
          <w:i/>
          <w:iCs/>
          <w:lang w:eastAsia="en-AU" w:bidi="ar-SA"/>
        </w:rPr>
        <w:t>A. niger</w:t>
      </w:r>
      <w:r w:rsidRPr="62495930">
        <w:rPr>
          <w:lang w:eastAsia="en-AU" w:bidi="ar-SA"/>
        </w:rPr>
        <w:t xml:space="preserve"> host strain’s genome, producing the production strain. The glucoamylase gene is derived from </w:t>
      </w:r>
      <w:r w:rsidRPr="62495930">
        <w:rPr>
          <w:i/>
          <w:iCs/>
          <w:lang w:eastAsia="en-AU" w:bidi="ar-SA"/>
        </w:rPr>
        <w:t>P. oxalicum</w:t>
      </w:r>
      <w:r w:rsidRPr="62495930">
        <w:rPr>
          <w:lang w:eastAsia="en-AU" w:bidi="ar-SA"/>
        </w:rPr>
        <w:t xml:space="preserve"> and is under the control of the native promoter and terminator from </w:t>
      </w:r>
      <w:r w:rsidRPr="62495930">
        <w:rPr>
          <w:i/>
          <w:iCs/>
          <w:lang w:eastAsia="en-AU" w:bidi="ar-SA"/>
        </w:rPr>
        <w:t>A. niger</w:t>
      </w:r>
      <w:r w:rsidRPr="62495930">
        <w:rPr>
          <w:lang w:eastAsia="en-AU" w:bidi="ar-SA"/>
        </w:rPr>
        <w:t xml:space="preserve">. A selectable </w:t>
      </w:r>
      <w:r w:rsidR="00256576" w:rsidRPr="62495930">
        <w:rPr>
          <w:lang w:eastAsia="en-AU" w:bidi="ar-SA"/>
        </w:rPr>
        <w:t>marker gene enabling the selection of positive transformants by growth on media supplemented with acetamide</w:t>
      </w:r>
      <w:r w:rsidRPr="62495930">
        <w:rPr>
          <w:lang w:eastAsia="en-AU" w:bidi="ar-SA"/>
        </w:rPr>
        <w:t xml:space="preserve"> </w:t>
      </w:r>
      <w:r w:rsidR="003F2AF7">
        <w:rPr>
          <w:lang w:eastAsia="en-AU" w:bidi="ar-SA"/>
        </w:rPr>
        <w:t xml:space="preserve">was </w:t>
      </w:r>
      <w:r w:rsidRPr="62495930">
        <w:rPr>
          <w:lang w:eastAsia="en-AU" w:bidi="ar-SA"/>
        </w:rPr>
        <w:t>used. Data provided by Novozymes and analysed by FSANZ confirmed the expected glucoamylase amino acid sequence. The glucoamylase enzyme has been protein engineered and differs from the wild type glucoamylase enzyme by a single amino acid.</w:t>
      </w:r>
    </w:p>
    <w:p w14:paraId="55EE64A5" w14:textId="494BFAD6" w:rsidR="004A63CA" w:rsidRPr="004A63CA" w:rsidRDefault="00BB6AF6" w:rsidP="004A63CA">
      <w:pPr>
        <w:rPr>
          <w:lang w:eastAsia="en-AU" w:bidi="ar-SA"/>
        </w:rPr>
      </w:pPr>
      <w:r>
        <w:rPr>
          <w:lang w:eastAsia="en-AU" w:bidi="ar-SA"/>
        </w:rPr>
        <w:t>A vector containing the glucoamylase expression cassett</w:t>
      </w:r>
      <w:r w:rsidR="00B10FF6">
        <w:rPr>
          <w:lang w:eastAsia="en-AU" w:bidi="ar-SA"/>
        </w:rPr>
        <w:t>e was used to transform the host</w:t>
      </w:r>
      <w:r>
        <w:rPr>
          <w:lang w:eastAsia="en-AU" w:bidi="ar-SA"/>
        </w:rPr>
        <w:t xml:space="preserve"> strain. The expression cassette </w:t>
      </w:r>
      <w:r w:rsidR="00172DD3">
        <w:rPr>
          <w:lang w:eastAsia="en-AU" w:bidi="ar-SA"/>
        </w:rPr>
        <w:t>was integrated at specific integration sites in the host’s</w:t>
      </w:r>
      <w:r>
        <w:rPr>
          <w:lang w:eastAsia="en-AU" w:bidi="ar-SA"/>
        </w:rPr>
        <w:t xml:space="preserve"> genome. T</w:t>
      </w:r>
      <w:r w:rsidR="00172DD3">
        <w:rPr>
          <w:lang w:eastAsia="en-AU" w:bidi="ar-SA"/>
        </w:rPr>
        <w:t xml:space="preserve">he final production strain </w:t>
      </w:r>
      <w:r>
        <w:rPr>
          <w:lang w:eastAsia="en-AU" w:bidi="ar-SA"/>
        </w:rPr>
        <w:t>was selected based by growth on medium containing acetamide and high glucoamylase activity.</w:t>
      </w:r>
    </w:p>
    <w:p w14:paraId="0AA8F6ED" w14:textId="535BD911" w:rsidR="00672E4D" w:rsidRDefault="00672E4D" w:rsidP="00672E4D">
      <w:pPr>
        <w:pStyle w:val="Heading3"/>
      </w:pPr>
      <w:bookmarkStart w:id="170" w:name="_Toc85204772"/>
      <w:bookmarkStart w:id="171" w:name="_Toc85211334"/>
      <w:bookmarkStart w:id="172" w:name="_Toc87259309"/>
      <w:bookmarkStart w:id="173" w:name="_Toc92790210"/>
      <w:bookmarkStart w:id="174" w:name="_Toc100321343"/>
      <w:bookmarkStart w:id="175" w:name="_Toc100325028"/>
      <w:bookmarkStart w:id="176" w:name="_Toc109984722"/>
      <w:r>
        <w:t>3.2.2</w:t>
      </w:r>
      <w:r>
        <w:tab/>
        <w:t>Characterisation of inserted DNA</w:t>
      </w:r>
      <w:bookmarkEnd w:id="170"/>
      <w:bookmarkEnd w:id="171"/>
      <w:bookmarkEnd w:id="172"/>
      <w:bookmarkEnd w:id="173"/>
      <w:bookmarkEnd w:id="174"/>
      <w:bookmarkEnd w:id="175"/>
      <w:bookmarkEnd w:id="176"/>
    </w:p>
    <w:p w14:paraId="05A33879" w14:textId="4F5A6050" w:rsidR="00B10FF6" w:rsidRPr="00B10FF6" w:rsidRDefault="000F618A" w:rsidP="00B10FF6">
      <w:pPr>
        <w:rPr>
          <w:lang w:eastAsia="en-AU" w:bidi="ar-SA"/>
        </w:rPr>
      </w:pPr>
      <w:r>
        <w:rPr>
          <w:lang w:eastAsia="en-AU" w:bidi="ar-SA"/>
        </w:rPr>
        <w:t>Data</w:t>
      </w:r>
      <w:r w:rsidR="00B10FF6">
        <w:rPr>
          <w:lang w:eastAsia="en-AU" w:bidi="ar-SA"/>
        </w:rPr>
        <w:t xml:space="preserve"> provided by Novozymes and analysed by FSANZ confirmed the presence of the inserted DNA in the production strain. The applicant also provided Southern </w:t>
      </w:r>
      <w:r w:rsidR="00B10FF6" w:rsidRPr="63681505">
        <w:rPr>
          <w:lang w:eastAsia="en-AU" w:bidi="ar-SA"/>
        </w:rPr>
        <w:t>blot</w:t>
      </w:r>
      <w:r w:rsidR="00B10FF6">
        <w:rPr>
          <w:lang w:eastAsia="en-AU" w:bidi="ar-SA"/>
        </w:rPr>
        <w:t xml:space="preserve"> analysis which confirmed the absence of antibiotic resistance gene</w:t>
      </w:r>
      <w:r w:rsidR="003F2AF7">
        <w:rPr>
          <w:lang w:eastAsia="en-AU" w:bidi="ar-SA"/>
        </w:rPr>
        <w:t>s</w:t>
      </w:r>
      <w:r w:rsidR="00B10FF6">
        <w:rPr>
          <w:lang w:eastAsia="en-AU" w:bidi="ar-SA"/>
        </w:rPr>
        <w:t xml:space="preserve"> in the </w:t>
      </w:r>
      <w:r w:rsidR="00F65BC9">
        <w:rPr>
          <w:lang w:eastAsia="en-AU" w:bidi="ar-SA"/>
        </w:rPr>
        <w:t>production strain.</w:t>
      </w:r>
    </w:p>
    <w:p w14:paraId="0ECED560" w14:textId="6A5336E8" w:rsidR="00672E4D" w:rsidRDefault="00672E4D" w:rsidP="00672E4D">
      <w:pPr>
        <w:pStyle w:val="Heading3"/>
      </w:pPr>
      <w:bookmarkStart w:id="177" w:name="_Toc85204773"/>
      <w:bookmarkStart w:id="178" w:name="_Toc85211335"/>
      <w:bookmarkStart w:id="179" w:name="_Toc87259310"/>
      <w:bookmarkStart w:id="180" w:name="_Toc92790211"/>
      <w:bookmarkStart w:id="181" w:name="_Toc100321344"/>
      <w:bookmarkStart w:id="182" w:name="_Toc100325029"/>
      <w:bookmarkStart w:id="183" w:name="_Toc109984723"/>
      <w:r>
        <w:t>3.2.3</w:t>
      </w:r>
      <w:r>
        <w:tab/>
        <w:t>Genetic stability of the inserted gene</w:t>
      </w:r>
      <w:bookmarkEnd w:id="177"/>
      <w:bookmarkEnd w:id="178"/>
      <w:bookmarkEnd w:id="179"/>
      <w:bookmarkEnd w:id="180"/>
      <w:bookmarkEnd w:id="181"/>
      <w:bookmarkEnd w:id="182"/>
      <w:bookmarkEnd w:id="183"/>
    </w:p>
    <w:p w14:paraId="0E54270F" w14:textId="06A6835C" w:rsidR="002E7AB1" w:rsidRPr="002E7AB1" w:rsidRDefault="002E7AB1" w:rsidP="00136983">
      <w:pPr>
        <w:spacing w:after="240"/>
        <w:rPr>
          <w:rFonts w:eastAsia="Calibri"/>
          <w:szCs w:val="22"/>
          <w:lang w:bidi="ar-SA"/>
        </w:rPr>
      </w:pPr>
      <w:r w:rsidRPr="002E7AB1">
        <w:rPr>
          <w:rFonts w:eastAsia="Calibri"/>
          <w:szCs w:val="22"/>
          <w:lang w:bidi="ar-SA"/>
        </w:rPr>
        <w:t xml:space="preserve">The assessment confirmed the inserted gene is integrated into </w:t>
      </w:r>
      <w:r w:rsidR="00BB67F9">
        <w:rPr>
          <w:rFonts w:eastAsia="Calibri"/>
          <w:szCs w:val="22"/>
          <w:lang w:bidi="ar-SA"/>
        </w:rPr>
        <w:t xml:space="preserve">the </w:t>
      </w:r>
      <w:r w:rsidRPr="002E7AB1">
        <w:rPr>
          <w:rFonts w:eastAsia="Calibri"/>
          <w:szCs w:val="22"/>
          <w:lang w:bidi="ar-SA"/>
        </w:rPr>
        <w:t xml:space="preserve">genome of the production strain and does not have the ability to replicate autonomously. The inserted gene is therefore considered to be genetically stable. </w:t>
      </w:r>
    </w:p>
    <w:p w14:paraId="156E5AD8" w14:textId="63D8E644" w:rsidR="002E7AB1" w:rsidRPr="002E7AB1" w:rsidRDefault="002E7AB1" w:rsidP="00136983">
      <w:pPr>
        <w:spacing w:after="240"/>
        <w:rPr>
          <w:lang w:eastAsia="en-AU" w:bidi="ar-SA"/>
        </w:rPr>
      </w:pPr>
      <w:r w:rsidRPr="002E7AB1">
        <w:rPr>
          <w:rFonts w:eastAsia="Calibri"/>
          <w:szCs w:val="22"/>
          <w:lang w:bidi="ar-SA"/>
        </w:rPr>
        <w:t>To provide further evidence of the s</w:t>
      </w:r>
      <w:r>
        <w:rPr>
          <w:rFonts w:eastAsia="Calibri"/>
          <w:szCs w:val="22"/>
          <w:lang w:bidi="ar-SA"/>
        </w:rPr>
        <w:t>tability of the introduced gluco</w:t>
      </w:r>
      <w:r w:rsidRPr="002E7AB1">
        <w:rPr>
          <w:rFonts w:eastAsia="Calibri"/>
          <w:szCs w:val="22"/>
          <w:lang w:bidi="ar-SA"/>
        </w:rPr>
        <w:t xml:space="preserve">amylase gene, the </w:t>
      </w:r>
      <w:r w:rsidRPr="002E7AB1">
        <w:rPr>
          <w:rFonts w:eastAsia="Calibri"/>
          <w:szCs w:val="22"/>
          <w:lang w:bidi="ar-SA"/>
        </w:rPr>
        <w:lastRenderedPageBreak/>
        <w:t>applicant provided phenotypic data from large-scale fermentation of the production strain. The</w:t>
      </w:r>
      <w:r>
        <w:rPr>
          <w:rFonts w:eastAsia="Calibri"/>
          <w:szCs w:val="22"/>
          <w:lang w:bidi="ar-SA"/>
        </w:rPr>
        <w:t>se data confirmed that the gluco</w:t>
      </w:r>
      <w:r w:rsidRPr="002E7AB1">
        <w:rPr>
          <w:rFonts w:eastAsia="Calibri"/>
          <w:szCs w:val="22"/>
          <w:lang w:bidi="ar-SA"/>
        </w:rPr>
        <w:t>amylase gene is expressed over multiple generations and is stable.</w:t>
      </w:r>
    </w:p>
    <w:p w14:paraId="05512574" w14:textId="491759D5" w:rsidR="000D2331" w:rsidRDefault="000D2331" w:rsidP="00F42F9D">
      <w:pPr>
        <w:pStyle w:val="Heading2"/>
      </w:pPr>
      <w:bookmarkStart w:id="184" w:name="_Toc100321345"/>
      <w:bookmarkStart w:id="185" w:name="_Toc100325030"/>
      <w:bookmarkStart w:id="186" w:name="_Toc109984724"/>
      <w:r w:rsidRPr="00DD6B6A">
        <w:t>3.</w:t>
      </w:r>
      <w:r>
        <w:t>3</w:t>
      </w:r>
      <w:r>
        <w:tab/>
        <w:t>Safety of</w:t>
      </w:r>
      <w:r w:rsidR="001A2697">
        <w:t xml:space="preserve"> </w:t>
      </w:r>
      <w:bookmarkEnd w:id="184"/>
      <w:bookmarkEnd w:id="185"/>
      <w:r w:rsidR="004331DF">
        <w:t>glucoamylase</w:t>
      </w:r>
      <w:bookmarkEnd w:id="186"/>
      <w:r>
        <w:t xml:space="preserve"> </w:t>
      </w:r>
    </w:p>
    <w:p w14:paraId="4733885E" w14:textId="52D356AE" w:rsidR="000D2331" w:rsidRDefault="000D2331" w:rsidP="000D2331">
      <w:pPr>
        <w:pStyle w:val="Heading3"/>
      </w:pPr>
      <w:bookmarkStart w:id="187" w:name="_Toc100321346"/>
      <w:bookmarkStart w:id="188" w:name="_Toc100325031"/>
      <w:bookmarkStart w:id="189" w:name="_Toc109984725"/>
      <w:r>
        <w:t>3.3.1</w:t>
      </w:r>
      <w:r>
        <w:tab/>
        <w:t>History of safe use of the enzyme</w:t>
      </w:r>
      <w:bookmarkEnd w:id="187"/>
      <w:bookmarkEnd w:id="188"/>
      <w:bookmarkEnd w:id="189"/>
    </w:p>
    <w:p w14:paraId="61BF0796" w14:textId="222DC090" w:rsidR="00E84CFB" w:rsidRDefault="00E84CFB" w:rsidP="00136983">
      <w:pPr>
        <w:spacing w:after="240"/>
        <w:rPr>
          <w:lang w:eastAsia="en-AU" w:bidi="ar-SA"/>
        </w:rPr>
      </w:pPr>
      <w:r>
        <w:rPr>
          <w:lang w:eastAsia="en-AU" w:bidi="ar-SA"/>
        </w:rPr>
        <w:t>Glucoamylases have a long history of use in industrial food applications,</w:t>
      </w:r>
      <w:r w:rsidR="00DE2FEA">
        <w:rPr>
          <w:lang w:eastAsia="en-AU" w:bidi="ar-SA"/>
        </w:rPr>
        <w:t xml:space="preserve"> with major application in the starch, distilling, brewing and baking industry (</w:t>
      </w:r>
      <w:r w:rsidR="00280873">
        <w:rPr>
          <w:lang w:eastAsia="en-AU" w:bidi="ar-SA"/>
        </w:rPr>
        <w:t xml:space="preserve">Godfrey 1983; </w:t>
      </w:r>
      <w:proofErr w:type="spellStart"/>
      <w:r w:rsidR="00CE74DE">
        <w:rPr>
          <w:lang w:eastAsia="en-AU" w:bidi="ar-SA"/>
        </w:rPr>
        <w:t>Janda</w:t>
      </w:r>
      <w:proofErr w:type="spellEnd"/>
      <w:r w:rsidR="00CE74DE">
        <w:rPr>
          <w:lang w:eastAsia="en-AU" w:bidi="ar-SA"/>
        </w:rPr>
        <w:t xml:space="preserve"> 1983; </w:t>
      </w:r>
      <w:r w:rsidR="00280873">
        <w:rPr>
          <w:lang w:eastAsia="en-AU" w:bidi="ar-SA"/>
        </w:rPr>
        <w:t xml:space="preserve">Poulson 1983; </w:t>
      </w:r>
      <w:proofErr w:type="spellStart"/>
      <w:r w:rsidR="00280873">
        <w:rPr>
          <w:lang w:eastAsia="en-AU" w:bidi="ar-SA"/>
        </w:rPr>
        <w:t>Reichelt</w:t>
      </w:r>
      <w:proofErr w:type="spellEnd"/>
      <w:r w:rsidR="00280873">
        <w:rPr>
          <w:lang w:eastAsia="en-AU" w:bidi="ar-SA"/>
        </w:rPr>
        <w:t xml:space="preserve"> 1983; </w:t>
      </w:r>
      <w:r w:rsidR="008053E2">
        <w:rPr>
          <w:lang w:eastAsia="en-AU" w:bidi="ar-SA"/>
        </w:rPr>
        <w:t>van Oort 2010</w:t>
      </w:r>
      <w:r w:rsidR="00DE2FEA">
        <w:rPr>
          <w:lang w:eastAsia="en-AU" w:bidi="ar-SA"/>
        </w:rPr>
        <w:t>). G</w:t>
      </w:r>
      <w:r>
        <w:rPr>
          <w:lang w:eastAsia="en-AU" w:bidi="ar-SA"/>
        </w:rPr>
        <w:t xml:space="preserve">lucoamylases from a variety of sources are authorised in a range of countries including Australia and New Zealand, Brazil, Canada, China, Denmark, France, Japan and Mexico. </w:t>
      </w:r>
    </w:p>
    <w:p w14:paraId="5AC336BD" w14:textId="7697916D" w:rsidR="00E84CFB" w:rsidRPr="00E14DAF" w:rsidRDefault="00E14DAF" w:rsidP="00E14DAF">
      <w:pPr>
        <w:rPr>
          <w:lang w:eastAsia="en-AU" w:bidi="ar-SA"/>
        </w:rPr>
      </w:pPr>
      <w:r>
        <w:rPr>
          <w:lang w:eastAsia="en-AU" w:bidi="ar-SA"/>
        </w:rPr>
        <w:t>The applicant has indicated that the</w:t>
      </w:r>
      <w:r w:rsidR="00E84CFB">
        <w:rPr>
          <w:lang w:eastAsia="en-AU" w:bidi="ar-SA"/>
        </w:rPr>
        <w:t>ir glucoamylase</w:t>
      </w:r>
      <w:r>
        <w:rPr>
          <w:lang w:eastAsia="en-AU" w:bidi="ar-SA"/>
        </w:rPr>
        <w:t xml:space="preserve"> enzyme</w:t>
      </w:r>
      <w:r w:rsidR="00E84CFB">
        <w:rPr>
          <w:lang w:eastAsia="en-AU" w:bidi="ar-SA"/>
        </w:rPr>
        <w:t xml:space="preserve"> preparation</w:t>
      </w:r>
      <w:r>
        <w:rPr>
          <w:lang w:eastAsia="en-AU" w:bidi="ar-SA"/>
        </w:rPr>
        <w:t xml:space="preserve"> is currently in use in a range of countries, and has been authorised for use in Denmark since 2019.</w:t>
      </w:r>
      <w:r w:rsidR="00E84CFB">
        <w:rPr>
          <w:lang w:eastAsia="en-AU" w:bidi="ar-SA"/>
        </w:rPr>
        <w:t xml:space="preserve"> </w:t>
      </w:r>
    </w:p>
    <w:p w14:paraId="48E3D2D8" w14:textId="67B7D1AA" w:rsidR="000D2331" w:rsidRDefault="000D2331" w:rsidP="000D2331">
      <w:pPr>
        <w:pStyle w:val="Heading3"/>
      </w:pPr>
      <w:bookmarkStart w:id="190" w:name="_Toc100321347"/>
      <w:bookmarkStart w:id="191" w:name="_Toc100325032"/>
      <w:bookmarkStart w:id="192" w:name="_Toc109984726"/>
      <w:r>
        <w:t>3.3.2</w:t>
      </w:r>
      <w:r w:rsidR="00351C35">
        <w:tab/>
      </w:r>
      <w:r>
        <w:t>Bioinformatics concerning potential for toxicity</w:t>
      </w:r>
      <w:bookmarkEnd w:id="190"/>
      <w:bookmarkEnd w:id="191"/>
      <w:bookmarkEnd w:id="192"/>
    </w:p>
    <w:p w14:paraId="11F350B6" w14:textId="1E13963B" w:rsidR="00DE2FEA" w:rsidRPr="00DE2FEA" w:rsidRDefault="00DE2FEA" w:rsidP="00DE2FEA">
      <w:pPr>
        <w:rPr>
          <w:lang w:eastAsia="en-AU" w:bidi="ar-SA"/>
        </w:rPr>
      </w:pPr>
      <w:r>
        <w:rPr>
          <w:lang w:eastAsia="en-AU" w:bidi="ar-SA"/>
        </w:rPr>
        <w:t xml:space="preserve">The applicant performed an assessment of amino acid sequence homology of the glucoamylase enzyme to known toxins included in the </w:t>
      </w:r>
      <w:hyperlink r:id="rId21" w:history="1">
        <w:proofErr w:type="spellStart"/>
        <w:r w:rsidRPr="00DE2FEA">
          <w:rPr>
            <w:rStyle w:val="Hyperlink"/>
            <w:lang w:eastAsia="en-AU" w:bidi="ar-SA"/>
          </w:rPr>
          <w:t>UniProt</w:t>
        </w:r>
        <w:proofErr w:type="spellEnd"/>
        <w:r w:rsidRPr="00DE2FEA">
          <w:rPr>
            <w:rStyle w:val="Hyperlink"/>
            <w:lang w:eastAsia="en-AU" w:bidi="ar-SA"/>
          </w:rPr>
          <w:t xml:space="preserve"> database</w:t>
        </w:r>
      </w:hyperlink>
      <w:r>
        <w:rPr>
          <w:lang w:eastAsia="en-AU" w:bidi="ar-SA"/>
        </w:rPr>
        <w:t xml:space="preserve">. No significant homologies were identified. </w:t>
      </w:r>
    </w:p>
    <w:p w14:paraId="20EE6A34" w14:textId="09DCEAFE" w:rsidR="000D2331" w:rsidRDefault="000D2331" w:rsidP="000D2331">
      <w:pPr>
        <w:pStyle w:val="Heading3"/>
      </w:pPr>
      <w:bookmarkStart w:id="193" w:name="_Toc100321348"/>
      <w:bookmarkStart w:id="194" w:name="_Toc100325033"/>
      <w:bookmarkStart w:id="195" w:name="_Toc109984727"/>
      <w:r w:rsidRPr="0005714B">
        <w:t>3.3.3</w:t>
      </w:r>
      <w:r w:rsidR="00351C35">
        <w:tab/>
      </w:r>
      <w:r w:rsidRPr="0005714B">
        <w:t>Toxicology data</w:t>
      </w:r>
      <w:bookmarkEnd w:id="193"/>
      <w:bookmarkEnd w:id="194"/>
      <w:bookmarkEnd w:id="195"/>
    </w:p>
    <w:p w14:paraId="7B2FBC61" w14:textId="3EC8E79A" w:rsidR="0012486C" w:rsidRPr="0012486C" w:rsidRDefault="00134DE8" w:rsidP="0012486C">
      <w:pPr>
        <w:rPr>
          <w:lang w:eastAsia="en-AU" w:bidi="ar-SA"/>
        </w:rPr>
      </w:pPr>
      <w:r>
        <w:rPr>
          <w:lang w:eastAsia="en-AU" w:bidi="ar-SA"/>
        </w:rPr>
        <w:t>The test item used in the following studies was glucoamylase</w:t>
      </w:r>
      <w:r w:rsidR="0075096C">
        <w:rPr>
          <w:lang w:eastAsia="en-AU" w:bidi="ar-SA"/>
        </w:rPr>
        <w:t>, batch</w:t>
      </w:r>
      <w:r>
        <w:rPr>
          <w:lang w:eastAsia="en-AU" w:bidi="ar-SA"/>
        </w:rPr>
        <w:t xml:space="preserve"> PPY34422, an enzyme concentrate representative of the glucoamylase subject </w:t>
      </w:r>
      <w:r w:rsidR="000B31D8">
        <w:rPr>
          <w:lang w:eastAsia="en-AU" w:bidi="ar-SA"/>
        </w:rPr>
        <w:t>to</w:t>
      </w:r>
      <w:r>
        <w:rPr>
          <w:lang w:eastAsia="en-AU" w:bidi="ar-SA"/>
        </w:rPr>
        <w:t xml:space="preserve"> this application</w:t>
      </w:r>
      <w:r w:rsidR="000B31D8">
        <w:rPr>
          <w:lang w:eastAsia="en-AU" w:bidi="ar-SA"/>
        </w:rPr>
        <w:t xml:space="preserve"> </w:t>
      </w:r>
      <w:r w:rsidR="000B31D8" w:rsidRPr="007E1AAA">
        <w:rPr>
          <w:lang w:eastAsia="en-AU" w:bidi="ar-SA"/>
        </w:rPr>
        <w:t xml:space="preserve">before the addition of other components of the </w:t>
      </w:r>
      <w:r w:rsidR="000B31D8">
        <w:rPr>
          <w:lang w:eastAsia="en-AU" w:bidi="ar-SA"/>
        </w:rPr>
        <w:t xml:space="preserve">commercial </w:t>
      </w:r>
      <w:r w:rsidR="000B31D8" w:rsidRPr="007E1AAA">
        <w:rPr>
          <w:lang w:eastAsia="en-AU" w:bidi="ar-SA"/>
        </w:rPr>
        <w:t>food enzyme preparation</w:t>
      </w:r>
      <w:r>
        <w:rPr>
          <w:lang w:eastAsia="en-AU" w:bidi="ar-SA"/>
        </w:rPr>
        <w:t xml:space="preserve">. </w:t>
      </w:r>
    </w:p>
    <w:p w14:paraId="6E2E8D4A" w14:textId="4B2328AB" w:rsidR="000D09F5" w:rsidRDefault="000D09F5" w:rsidP="00601CFE">
      <w:pPr>
        <w:pStyle w:val="Heading4"/>
        <w:rPr>
          <w:lang w:eastAsia="en-AU"/>
        </w:rPr>
      </w:pPr>
      <w:r w:rsidRPr="00500802">
        <w:rPr>
          <w:lang w:eastAsia="en-AU"/>
        </w:rPr>
        <w:t xml:space="preserve">3.3.3.1 </w:t>
      </w:r>
      <w:r w:rsidR="00134DE8">
        <w:rPr>
          <w:lang w:eastAsia="en-AU"/>
        </w:rPr>
        <w:t>Animal studies</w:t>
      </w:r>
    </w:p>
    <w:p w14:paraId="1EDC02B6" w14:textId="6AEC0ED5" w:rsidR="00576995" w:rsidRDefault="00576995" w:rsidP="00276EC2">
      <w:pPr>
        <w:pStyle w:val="Heading5"/>
        <w:rPr>
          <w:lang w:eastAsia="en-AU"/>
        </w:rPr>
      </w:pPr>
      <w:r>
        <w:rPr>
          <w:lang w:eastAsia="en-AU"/>
        </w:rPr>
        <w:t xml:space="preserve">13-week oral toxicity study in </w:t>
      </w:r>
      <w:r w:rsidR="00276EC2">
        <w:rPr>
          <w:lang w:eastAsia="en-AU"/>
        </w:rPr>
        <w:t>rats (Huntingdon Life Sciences 2013) Regulatory status: GLP; conducted in accordance with OECD TG 408 (1998)</w:t>
      </w:r>
    </w:p>
    <w:p w14:paraId="37459C3D" w14:textId="2432E2AE" w:rsidR="009D15BD" w:rsidRDefault="00C84DCD" w:rsidP="00136983">
      <w:pPr>
        <w:spacing w:after="240"/>
        <w:rPr>
          <w:lang w:eastAsia="en-AU" w:bidi="ar-SA"/>
        </w:rPr>
      </w:pPr>
      <w:r w:rsidRPr="37EC7F24">
        <w:rPr>
          <w:lang w:eastAsia="en-AU" w:bidi="ar-SA"/>
        </w:rPr>
        <w:t>Glucoamylase was administered to Sprague-Dawley [</w:t>
      </w:r>
      <w:proofErr w:type="spellStart"/>
      <w:r w:rsidRPr="37EC7F24">
        <w:rPr>
          <w:lang w:eastAsia="en-AU" w:bidi="ar-SA"/>
        </w:rPr>
        <w:t>Crl:CD</w:t>
      </w:r>
      <w:proofErr w:type="spellEnd"/>
      <w:r w:rsidRPr="37EC7F24">
        <w:rPr>
          <w:lang w:eastAsia="en-AU" w:bidi="ar-SA"/>
        </w:rPr>
        <w:t>(SD)] rats (10/sex/group) at doses of 0, 136, 449 or 1360 mg</w:t>
      </w:r>
      <w:r w:rsidR="003C61AB" w:rsidRPr="37EC7F24">
        <w:rPr>
          <w:lang w:eastAsia="en-AU" w:bidi="ar-SA"/>
        </w:rPr>
        <w:t xml:space="preserve"> total organic solids (TOS)</w:t>
      </w:r>
      <w:r w:rsidRPr="37EC7F24">
        <w:rPr>
          <w:lang w:eastAsia="en-AU" w:bidi="ar-SA"/>
        </w:rPr>
        <w:t xml:space="preserve">/kg </w:t>
      </w:r>
      <w:proofErr w:type="spellStart"/>
      <w:r w:rsidRPr="37EC7F24">
        <w:rPr>
          <w:lang w:eastAsia="en-AU" w:bidi="ar-SA"/>
        </w:rPr>
        <w:t>bw</w:t>
      </w:r>
      <w:proofErr w:type="spellEnd"/>
      <w:r w:rsidRPr="37EC7F24">
        <w:rPr>
          <w:lang w:eastAsia="en-AU" w:bidi="ar-SA"/>
        </w:rPr>
        <w:t>/day for 13 weeks. Water was used as the vehicle control. Clinical condition was monitored daily. Body weight, food consumption and detailed clinical examinations for signs of toxicity were recorded weekly. Sensory activity, grip strength and motor activity assessments were performed on all animals during Week 12 of treatment.</w:t>
      </w:r>
      <w:r w:rsidR="00EF63A4" w:rsidRPr="37EC7F24">
        <w:rPr>
          <w:lang w:eastAsia="en-AU" w:bidi="ar-SA"/>
        </w:rPr>
        <w:t xml:space="preserve"> Ophthalmic examination was conducted on all animals prior to study initiation and on control and high-dose animals in Week 12.</w:t>
      </w:r>
      <w:r w:rsidRPr="37EC7F24">
        <w:rPr>
          <w:lang w:eastAsia="en-AU" w:bidi="ar-SA"/>
        </w:rPr>
        <w:t xml:space="preserve"> </w:t>
      </w:r>
      <w:r w:rsidR="009D15BD" w:rsidRPr="37EC7F24">
        <w:rPr>
          <w:lang w:eastAsia="en-AU" w:bidi="ar-SA"/>
        </w:rPr>
        <w:t>At the end of the study blood samples were collected for haematology and clinical chemistry analysis. Gross pathology and measurement of organ weights was conducted on all animals at study termination, and organs and tissues from the control and high-dose group animals underwent histopathological examination.</w:t>
      </w:r>
    </w:p>
    <w:p w14:paraId="6CF221D9" w14:textId="21A55980" w:rsidR="00E818CB" w:rsidRDefault="00E818CB" w:rsidP="00136983">
      <w:pPr>
        <w:spacing w:after="240"/>
        <w:rPr>
          <w:lang w:eastAsia="en-AU" w:bidi="ar-SA"/>
        </w:rPr>
      </w:pPr>
      <w:r w:rsidRPr="37EC7F24">
        <w:rPr>
          <w:lang w:eastAsia="en-AU" w:bidi="ar-SA"/>
        </w:rPr>
        <w:t xml:space="preserve">All animals survived to the end of the study and no treatment-related clinical signs were observed. No treatment-related effects were observed on feed consumption, body weight and body weight gain, sensory reactivity, grip strength, motor activity, </w:t>
      </w:r>
      <w:r w:rsidR="0075096C">
        <w:rPr>
          <w:lang w:eastAsia="en-AU" w:bidi="ar-SA"/>
        </w:rPr>
        <w:t>ophthalmology</w:t>
      </w:r>
      <w:r w:rsidRPr="37EC7F24">
        <w:rPr>
          <w:lang w:eastAsia="en-AU" w:bidi="ar-SA"/>
        </w:rPr>
        <w:t xml:space="preserve">, haematology or clinical chemistry parameters. Organ weights were not affected by treatment and no treatment-related macroscopic or </w:t>
      </w:r>
      <w:r w:rsidR="00463BEA" w:rsidRPr="37EC7F24">
        <w:rPr>
          <w:lang w:eastAsia="en-AU" w:bidi="ar-SA"/>
        </w:rPr>
        <w:t>histopathologic</w:t>
      </w:r>
      <w:r w:rsidRPr="37EC7F24">
        <w:rPr>
          <w:lang w:eastAsia="en-AU" w:bidi="ar-SA"/>
        </w:rPr>
        <w:t xml:space="preserve"> </w:t>
      </w:r>
      <w:r w:rsidR="00463BEA" w:rsidRPr="37EC7F24">
        <w:rPr>
          <w:lang w:eastAsia="en-AU" w:bidi="ar-SA"/>
        </w:rPr>
        <w:t>changes were observed</w:t>
      </w:r>
      <w:r w:rsidRPr="37EC7F24">
        <w:rPr>
          <w:lang w:eastAsia="en-AU" w:bidi="ar-SA"/>
        </w:rPr>
        <w:t xml:space="preserve">. </w:t>
      </w:r>
    </w:p>
    <w:p w14:paraId="6E9E7BD9" w14:textId="2B1AACBA" w:rsidR="00E818CB" w:rsidRPr="00576995" w:rsidRDefault="00E818CB" w:rsidP="009D15BD">
      <w:pPr>
        <w:rPr>
          <w:lang w:eastAsia="en-AU" w:bidi="ar-SA"/>
        </w:rPr>
      </w:pPr>
      <w:r>
        <w:rPr>
          <w:lang w:eastAsia="en-AU" w:bidi="ar-SA"/>
        </w:rPr>
        <w:t xml:space="preserve">It was concluded that the no observed adverse effect level (NOAEL) in this study was 1360 </w:t>
      </w:r>
      <w:r>
        <w:rPr>
          <w:lang w:eastAsia="en-AU" w:bidi="ar-SA"/>
        </w:rPr>
        <w:lastRenderedPageBreak/>
        <w:t>mg</w:t>
      </w:r>
      <w:r w:rsidR="003C61AB">
        <w:rPr>
          <w:lang w:eastAsia="en-AU" w:bidi="ar-SA"/>
        </w:rPr>
        <w:t xml:space="preserve"> TOS</w:t>
      </w:r>
      <w:r>
        <w:rPr>
          <w:lang w:eastAsia="en-AU" w:bidi="ar-SA"/>
        </w:rPr>
        <w:t xml:space="preserve">/kg </w:t>
      </w:r>
      <w:proofErr w:type="spellStart"/>
      <w:r>
        <w:rPr>
          <w:lang w:eastAsia="en-AU" w:bidi="ar-SA"/>
        </w:rPr>
        <w:t>bw</w:t>
      </w:r>
      <w:proofErr w:type="spellEnd"/>
      <w:r>
        <w:rPr>
          <w:lang w:eastAsia="en-AU" w:bidi="ar-SA"/>
        </w:rPr>
        <w:t xml:space="preserve">/day, the highest dose tested. </w:t>
      </w:r>
    </w:p>
    <w:p w14:paraId="60328FF1" w14:textId="5B43EE62" w:rsidR="000D09F5" w:rsidRDefault="000D09F5" w:rsidP="000D09F5">
      <w:pPr>
        <w:pStyle w:val="Heading4"/>
        <w:rPr>
          <w:lang w:eastAsia="en-AU"/>
        </w:rPr>
      </w:pPr>
      <w:r>
        <w:rPr>
          <w:lang w:eastAsia="en-AU"/>
        </w:rPr>
        <w:t>3.3.3.2 Genotoxicity studies</w:t>
      </w:r>
    </w:p>
    <w:p w14:paraId="581CFE77" w14:textId="3407F901" w:rsidR="00712635" w:rsidRDefault="007010F4" w:rsidP="0047197B">
      <w:pPr>
        <w:pStyle w:val="Heading5"/>
        <w:rPr>
          <w:lang w:eastAsia="en-AU"/>
        </w:rPr>
      </w:pPr>
      <w:r>
        <w:rPr>
          <w:lang w:eastAsia="en-AU"/>
        </w:rPr>
        <w:t>Bacterial reverse mutation test (Novozymes 2013) Regulatory status: GLP; conducted in accordance with OECD TG 471</w:t>
      </w:r>
    </w:p>
    <w:p w14:paraId="419C573A" w14:textId="6D811C88" w:rsidR="00616530" w:rsidRDefault="00FF3FC4" w:rsidP="00136983">
      <w:pPr>
        <w:spacing w:after="240"/>
        <w:rPr>
          <w:lang w:eastAsia="en-AU" w:bidi="ar-SA"/>
        </w:rPr>
      </w:pPr>
      <w:r w:rsidRPr="37EC7F24">
        <w:rPr>
          <w:lang w:eastAsia="en-AU" w:bidi="ar-SA"/>
        </w:rPr>
        <w:t xml:space="preserve">Glucoamylase was tested for mutagenicity in the </w:t>
      </w:r>
      <w:r w:rsidRPr="37EC7F24">
        <w:rPr>
          <w:i/>
          <w:iCs/>
          <w:lang w:eastAsia="en-AU" w:bidi="ar-SA"/>
        </w:rPr>
        <w:t>Salmonella enterica</w:t>
      </w:r>
      <w:r w:rsidRPr="37EC7F24">
        <w:rPr>
          <w:lang w:eastAsia="en-AU" w:bidi="ar-SA"/>
        </w:rPr>
        <w:t xml:space="preserve"> ser. Typhimurium strains TA1535, TA100, TA1537, TA98 and </w:t>
      </w:r>
      <w:r w:rsidRPr="0075096C">
        <w:rPr>
          <w:i/>
          <w:lang w:eastAsia="en-AU" w:bidi="ar-SA"/>
        </w:rPr>
        <w:t>Escherichia coli</w:t>
      </w:r>
      <w:r w:rsidRPr="37EC7F24">
        <w:rPr>
          <w:lang w:eastAsia="en-AU" w:bidi="ar-SA"/>
        </w:rPr>
        <w:t xml:space="preserve"> WP2uverA (pKM101)</w:t>
      </w:r>
      <w:r w:rsidR="004F3C53" w:rsidRPr="37EC7F24">
        <w:rPr>
          <w:lang w:eastAsia="en-AU" w:bidi="ar-SA"/>
        </w:rPr>
        <w:t xml:space="preserve">. The treat and plate method was used because the enzyme preparation contained histidine and tryptophan which could potentially </w:t>
      </w:r>
      <w:r w:rsidR="0075096C">
        <w:rPr>
          <w:lang w:eastAsia="en-AU" w:bidi="ar-SA"/>
        </w:rPr>
        <w:t>lead to</w:t>
      </w:r>
      <w:r w:rsidR="004F3C53" w:rsidRPr="37EC7F24">
        <w:rPr>
          <w:lang w:eastAsia="en-AU" w:bidi="ar-SA"/>
        </w:rPr>
        <w:t xml:space="preserve"> false positive results. The assays were</w:t>
      </w:r>
      <w:r w:rsidR="003916CE" w:rsidRPr="37EC7F24">
        <w:rPr>
          <w:lang w:eastAsia="en-AU" w:bidi="ar-SA"/>
        </w:rPr>
        <w:t xml:space="preserve"> performed</w:t>
      </w:r>
      <w:r w:rsidR="0075096C">
        <w:rPr>
          <w:lang w:eastAsia="en-AU" w:bidi="ar-SA"/>
        </w:rPr>
        <w:t xml:space="preserve"> in triplicate</w:t>
      </w:r>
      <w:r w:rsidR="003916CE" w:rsidRPr="37EC7F24">
        <w:rPr>
          <w:lang w:eastAsia="en-AU" w:bidi="ar-SA"/>
        </w:rPr>
        <w:t xml:space="preserve"> in the presence and absence of metabolic activation (S9 mix). </w:t>
      </w:r>
      <w:r w:rsidR="0075096C">
        <w:rPr>
          <w:lang w:eastAsia="en-AU" w:bidi="ar-SA"/>
        </w:rPr>
        <w:t xml:space="preserve">Results were confirmed by conducting each assay for a second time. </w:t>
      </w:r>
      <w:r w:rsidR="003916CE" w:rsidRPr="37EC7F24">
        <w:rPr>
          <w:lang w:eastAsia="en-AU" w:bidi="ar-SA"/>
        </w:rPr>
        <w:t>T</w:t>
      </w:r>
      <w:r w:rsidR="004F3C53" w:rsidRPr="37EC7F24">
        <w:rPr>
          <w:lang w:eastAsia="en-AU" w:bidi="ar-SA"/>
        </w:rPr>
        <w:t xml:space="preserve">est item </w:t>
      </w:r>
      <w:r w:rsidR="003916CE" w:rsidRPr="37EC7F24">
        <w:rPr>
          <w:lang w:eastAsia="en-AU" w:bidi="ar-SA"/>
        </w:rPr>
        <w:t>concentrations ranged</w:t>
      </w:r>
      <w:r w:rsidR="004F3C53" w:rsidRPr="37EC7F24">
        <w:rPr>
          <w:lang w:eastAsia="en-AU" w:bidi="ar-SA"/>
        </w:rPr>
        <w:t xml:space="preserve"> from 156 – 5000 </w:t>
      </w:r>
      <w:r w:rsidR="004F3C53" w:rsidRPr="37EC7F24">
        <w:rPr>
          <w:rFonts w:cs="Arial"/>
          <w:lang w:eastAsia="en-AU" w:bidi="ar-SA"/>
        </w:rPr>
        <w:t>µ</w:t>
      </w:r>
      <w:r w:rsidR="004F3C53" w:rsidRPr="37EC7F24">
        <w:rPr>
          <w:lang w:eastAsia="en-AU" w:bidi="ar-SA"/>
        </w:rPr>
        <w:t>g/</w:t>
      </w:r>
      <w:proofErr w:type="spellStart"/>
      <w:r w:rsidR="004F3C53" w:rsidRPr="37EC7F24">
        <w:rPr>
          <w:lang w:eastAsia="en-AU" w:bidi="ar-SA"/>
        </w:rPr>
        <w:t>mL.</w:t>
      </w:r>
      <w:proofErr w:type="spellEnd"/>
      <w:r w:rsidR="004F3C53" w:rsidRPr="37EC7F24">
        <w:rPr>
          <w:lang w:eastAsia="en-AU" w:bidi="ar-SA"/>
        </w:rPr>
        <w:t xml:space="preserve"> </w:t>
      </w:r>
      <w:r w:rsidR="003916CE" w:rsidRPr="37EC7F24">
        <w:rPr>
          <w:lang w:eastAsia="en-AU" w:bidi="ar-SA"/>
        </w:rPr>
        <w:t xml:space="preserve">The vehicle control was water. </w:t>
      </w:r>
      <w:r w:rsidR="003C61AB" w:rsidRPr="37EC7F24">
        <w:rPr>
          <w:lang w:val="en-US" w:bidi="ar-SA"/>
        </w:rPr>
        <w:t>Appropriate positive control articles were used to confirm the validity of the assay.</w:t>
      </w:r>
      <w:r w:rsidR="003916CE" w:rsidRPr="37EC7F24">
        <w:rPr>
          <w:lang w:eastAsia="en-AU" w:bidi="ar-SA"/>
        </w:rPr>
        <w:t xml:space="preserve"> </w:t>
      </w:r>
    </w:p>
    <w:p w14:paraId="36302F1D" w14:textId="63A4A668" w:rsidR="004A1DA7" w:rsidRDefault="00616530" w:rsidP="00136983">
      <w:pPr>
        <w:spacing w:after="240"/>
        <w:rPr>
          <w:lang w:eastAsia="en-AU" w:bidi="ar-SA"/>
        </w:rPr>
      </w:pPr>
      <w:r w:rsidRPr="37EC7F24">
        <w:rPr>
          <w:lang w:eastAsia="en-AU" w:bidi="ar-SA"/>
        </w:rPr>
        <w:t xml:space="preserve">No increases in the number of revertant colonies that met the criteria for a positive or equivocal response were observed following treatment with the </w:t>
      </w:r>
      <w:r w:rsidR="0075096C">
        <w:rPr>
          <w:lang w:eastAsia="en-AU" w:bidi="ar-SA"/>
        </w:rPr>
        <w:t>enzyme</w:t>
      </w:r>
      <w:r w:rsidRPr="37EC7F24">
        <w:rPr>
          <w:lang w:eastAsia="en-AU" w:bidi="ar-SA"/>
        </w:rPr>
        <w:t xml:space="preserve">. Slightly increased numbers of revertant colonies compared with controls were observed in TA100 in the absence of </w:t>
      </w:r>
      <w:r w:rsidR="00F3515D" w:rsidRPr="37EC7F24">
        <w:rPr>
          <w:lang w:eastAsia="en-AU" w:bidi="ar-SA"/>
        </w:rPr>
        <w:t>S9</w:t>
      </w:r>
      <w:r w:rsidRPr="37EC7F24">
        <w:rPr>
          <w:lang w:eastAsia="en-AU" w:bidi="ar-SA"/>
        </w:rPr>
        <w:t xml:space="preserve"> in experiment 1, however a dose response was not observed, and similar changes were not observed in experiment 2. Experiment 2 also included an assessment of cell viability in TA100 in the absence of </w:t>
      </w:r>
      <w:r w:rsidR="00F3515D" w:rsidRPr="37EC7F24">
        <w:rPr>
          <w:lang w:eastAsia="en-AU" w:bidi="ar-SA"/>
        </w:rPr>
        <w:t>S9</w:t>
      </w:r>
      <w:r w:rsidRPr="37EC7F24">
        <w:rPr>
          <w:lang w:eastAsia="en-AU" w:bidi="ar-SA"/>
        </w:rPr>
        <w:t xml:space="preserve"> which demonstrated a growth stimulating effect of the test item</w:t>
      </w:r>
      <w:r w:rsidR="004A1DA7" w:rsidRPr="37EC7F24">
        <w:rPr>
          <w:lang w:eastAsia="en-AU" w:bidi="ar-SA"/>
        </w:rPr>
        <w:t xml:space="preserve">, which was likely </w:t>
      </w:r>
      <w:r w:rsidR="00F3515D" w:rsidRPr="37EC7F24">
        <w:rPr>
          <w:lang w:eastAsia="en-AU" w:bidi="ar-SA"/>
        </w:rPr>
        <w:t>to be the cause of the increased colony numbers</w:t>
      </w:r>
      <w:r w:rsidR="004A1DA7" w:rsidRPr="37EC7F24">
        <w:rPr>
          <w:lang w:eastAsia="en-AU" w:bidi="ar-SA"/>
        </w:rPr>
        <w:t xml:space="preserve"> seen in experiment 1. All positive control chemicals induced significant increases in revertant colony numbers, confirming the validity of the test system. </w:t>
      </w:r>
    </w:p>
    <w:p w14:paraId="5F2CF1C4" w14:textId="17A77B5A" w:rsidR="004A1DA7" w:rsidRDefault="004A1DA7" w:rsidP="003916CE">
      <w:pPr>
        <w:rPr>
          <w:lang w:eastAsia="en-AU" w:bidi="ar-SA"/>
        </w:rPr>
      </w:pPr>
      <w:r>
        <w:rPr>
          <w:lang w:eastAsia="en-AU" w:bidi="ar-SA"/>
        </w:rPr>
        <w:t>It was concluded that glucoamylase</w:t>
      </w:r>
      <w:r w:rsidR="00E50EAB">
        <w:rPr>
          <w:lang w:eastAsia="en-AU" w:bidi="ar-SA"/>
        </w:rPr>
        <w:t xml:space="preserve"> PPY34422</w:t>
      </w:r>
      <w:r>
        <w:rPr>
          <w:lang w:eastAsia="en-AU" w:bidi="ar-SA"/>
        </w:rPr>
        <w:t xml:space="preserve"> was not mutagenic under the conditions of this study. </w:t>
      </w:r>
    </w:p>
    <w:p w14:paraId="67C51DCF" w14:textId="65CEB183" w:rsidR="00864C78" w:rsidRDefault="00864C78" w:rsidP="00864C78">
      <w:pPr>
        <w:pStyle w:val="Heading5"/>
        <w:rPr>
          <w:lang w:eastAsia="en-AU"/>
        </w:rPr>
      </w:pPr>
      <w:r>
        <w:rPr>
          <w:lang w:eastAsia="en-AU"/>
        </w:rPr>
        <w:t>In vitro mammalian cell micronucleus test (Covance 2013) Regulatory status: GLP; conducted in accordance with OECD TG 487</w:t>
      </w:r>
    </w:p>
    <w:p w14:paraId="06C33911" w14:textId="6BFD26CA" w:rsidR="003748F4" w:rsidRDefault="002432EC" w:rsidP="00136983">
      <w:pPr>
        <w:spacing w:after="240"/>
        <w:rPr>
          <w:lang w:eastAsia="en-AU" w:bidi="ar-SA"/>
        </w:rPr>
      </w:pPr>
      <w:r w:rsidRPr="37EC7F24">
        <w:rPr>
          <w:lang w:eastAsia="en-AU" w:bidi="ar-SA"/>
        </w:rPr>
        <w:t>Glucoamylase was tested for its ability to induce micronuclei in human lymphocytes. Cells were either exposed to the test substance in</w:t>
      </w:r>
      <w:r w:rsidR="00836D2F" w:rsidRPr="37EC7F24">
        <w:rPr>
          <w:lang w:eastAsia="en-AU" w:bidi="ar-SA"/>
        </w:rPr>
        <w:t xml:space="preserve"> </w:t>
      </w:r>
      <w:r w:rsidRPr="37EC7F24">
        <w:rPr>
          <w:lang w:eastAsia="en-AU" w:bidi="ar-SA"/>
        </w:rPr>
        <w:t>the presence or absence of S9 for 3 hours (short-term), or exposed to the test substance for 24 hours (</w:t>
      </w:r>
      <w:r w:rsidR="00836D2F" w:rsidRPr="37EC7F24">
        <w:rPr>
          <w:lang w:eastAsia="en-AU" w:bidi="ar-SA"/>
        </w:rPr>
        <w:t>long-term</w:t>
      </w:r>
      <w:r w:rsidRPr="37EC7F24">
        <w:rPr>
          <w:lang w:eastAsia="en-AU" w:bidi="ar-SA"/>
        </w:rPr>
        <w:t>) without S9. In the short-term study cells were cultured for a further 21 hours following exposure to the test item</w:t>
      </w:r>
      <w:r w:rsidR="00645AEF" w:rsidRPr="37EC7F24">
        <w:rPr>
          <w:lang w:eastAsia="en-AU" w:bidi="ar-SA"/>
        </w:rPr>
        <w:t xml:space="preserve"> in the presence of cytochalasin B</w:t>
      </w:r>
      <w:r w:rsidRPr="37EC7F24">
        <w:rPr>
          <w:lang w:eastAsia="en-AU" w:bidi="ar-SA"/>
        </w:rPr>
        <w:t>, while in the long-term study cells were cultured for an additional 24 hours</w:t>
      </w:r>
      <w:r w:rsidR="00645AEF" w:rsidRPr="37EC7F24">
        <w:rPr>
          <w:lang w:eastAsia="en-AU" w:bidi="ar-SA"/>
        </w:rPr>
        <w:t xml:space="preserve"> with cytochalasin B</w:t>
      </w:r>
      <w:r w:rsidRPr="37EC7F24">
        <w:rPr>
          <w:lang w:eastAsia="en-AU" w:bidi="ar-SA"/>
        </w:rPr>
        <w:t>.</w:t>
      </w:r>
      <w:r w:rsidR="00645AEF" w:rsidRPr="37EC7F24">
        <w:rPr>
          <w:lang w:eastAsia="en-AU" w:bidi="ar-SA"/>
        </w:rPr>
        <w:t xml:space="preserve"> Glucoamylase concentrations up to 5000 </w:t>
      </w:r>
      <w:r w:rsidR="00645AEF" w:rsidRPr="37EC7F24">
        <w:rPr>
          <w:rFonts w:cs="Arial"/>
          <w:lang w:eastAsia="en-AU" w:bidi="ar-SA"/>
        </w:rPr>
        <w:t>µ</w:t>
      </w:r>
      <w:r w:rsidR="00645AEF" w:rsidRPr="37EC7F24">
        <w:rPr>
          <w:lang w:eastAsia="en-AU" w:bidi="ar-SA"/>
        </w:rPr>
        <w:t>g/mL were tested based on results of a dose-range finding study.</w:t>
      </w:r>
      <w:r w:rsidR="00D74B0E" w:rsidRPr="37EC7F24">
        <w:rPr>
          <w:lang w:eastAsia="en-AU" w:bidi="ar-SA"/>
        </w:rPr>
        <w:t xml:space="preserve"> The vehicle control was water. Mitomycin C and vinblastine were used</w:t>
      </w:r>
      <w:r w:rsidR="00836D2F" w:rsidRPr="37EC7F24">
        <w:rPr>
          <w:lang w:eastAsia="en-AU" w:bidi="ar-SA"/>
        </w:rPr>
        <w:t xml:space="preserve"> as</w:t>
      </w:r>
      <w:r w:rsidR="00D74B0E" w:rsidRPr="37EC7F24">
        <w:rPr>
          <w:lang w:eastAsia="en-AU" w:bidi="ar-SA"/>
        </w:rPr>
        <w:t xml:space="preserve"> clastogenic and </w:t>
      </w:r>
      <w:proofErr w:type="spellStart"/>
      <w:r w:rsidR="00D74B0E" w:rsidRPr="37EC7F24">
        <w:rPr>
          <w:lang w:eastAsia="en-AU" w:bidi="ar-SA"/>
        </w:rPr>
        <w:t>aneugenic</w:t>
      </w:r>
      <w:proofErr w:type="spellEnd"/>
      <w:r w:rsidR="00D74B0E" w:rsidRPr="37EC7F24">
        <w:rPr>
          <w:lang w:eastAsia="en-AU" w:bidi="ar-SA"/>
        </w:rPr>
        <w:t xml:space="preserve"> positive controls, respec</w:t>
      </w:r>
      <w:r w:rsidR="00836D2F" w:rsidRPr="37EC7F24">
        <w:rPr>
          <w:lang w:eastAsia="en-AU" w:bidi="ar-SA"/>
        </w:rPr>
        <w:t>tively, in the absence of S9. C</w:t>
      </w:r>
      <w:r w:rsidR="00D74B0E" w:rsidRPr="37EC7F24">
        <w:rPr>
          <w:lang w:eastAsia="en-AU" w:bidi="ar-SA"/>
        </w:rPr>
        <w:t xml:space="preserve">yclophosphamide was the positive control in the presence of S9. Cultures were performed in duplicate and 1000 binucleated cells from each culture were scored for the presence of micronuclei (2000 per treatment). </w:t>
      </w:r>
    </w:p>
    <w:p w14:paraId="0E3889D4" w14:textId="472717D7" w:rsidR="00E50EAB" w:rsidRDefault="003748F4" w:rsidP="00136983">
      <w:pPr>
        <w:spacing w:after="240"/>
        <w:rPr>
          <w:lang w:eastAsia="en-AU" w:bidi="ar-SA"/>
        </w:rPr>
      </w:pPr>
      <w:r w:rsidRPr="37EC7F24">
        <w:rPr>
          <w:lang w:eastAsia="en-AU" w:bidi="ar-SA"/>
        </w:rPr>
        <w:t xml:space="preserve">Short-term treatment with glucoamylase in the absence of S9 did not result in significant increases in the frequency of </w:t>
      </w:r>
      <w:proofErr w:type="spellStart"/>
      <w:r w:rsidRPr="37EC7F24">
        <w:rPr>
          <w:lang w:eastAsia="en-AU" w:bidi="ar-SA"/>
        </w:rPr>
        <w:t>micronucleated</w:t>
      </w:r>
      <w:proofErr w:type="spellEnd"/>
      <w:r w:rsidRPr="37EC7F24">
        <w:rPr>
          <w:lang w:eastAsia="en-AU" w:bidi="ar-SA"/>
        </w:rPr>
        <w:t xml:space="preserve"> binucleate (MNBM) cells compared with vehicle control</w:t>
      </w:r>
      <w:r w:rsidR="00E50EAB" w:rsidRPr="37EC7F24">
        <w:rPr>
          <w:lang w:eastAsia="en-AU" w:bidi="ar-SA"/>
        </w:rPr>
        <w:t>s</w:t>
      </w:r>
      <w:r w:rsidRPr="37EC7F24">
        <w:rPr>
          <w:lang w:eastAsia="en-AU" w:bidi="ar-SA"/>
        </w:rPr>
        <w:t xml:space="preserve">. Following short-term treatment </w:t>
      </w:r>
      <w:r w:rsidR="00E50EAB" w:rsidRPr="37EC7F24">
        <w:rPr>
          <w:lang w:eastAsia="en-AU" w:bidi="ar-SA"/>
        </w:rPr>
        <w:t xml:space="preserve">in </w:t>
      </w:r>
      <w:r w:rsidRPr="37EC7F24">
        <w:rPr>
          <w:lang w:eastAsia="en-AU" w:bidi="ar-SA"/>
        </w:rPr>
        <w:t>the presence of S9</w:t>
      </w:r>
      <w:r w:rsidR="00836D2F" w:rsidRPr="37EC7F24">
        <w:rPr>
          <w:lang w:eastAsia="en-AU" w:bidi="ar-SA"/>
        </w:rPr>
        <w:t>,</w:t>
      </w:r>
      <w:r w:rsidRPr="37EC7F24">
        <w:rPr>
          <w:lang w:eastAsia="en-AU" w:bidi="ar-SA"/>
        </w:rPr>
        <w:t xml:space="preserve"> the MNBN cell frequency for all bar a single replicate culture at 5000 </w:t>
      </w:r>
      <w:proofErr w:type="spellStart"/>
      <w:r w:rsidRPr="37EC7F24">
        <w:rPr>
          <w:lang w:eastAsia="en-AU" w:bidi="ar-SA"/>
        </w:rPr>
        <w:t>μg</w:t>
      </w:r>
      <w:proofErr w:type="spellEnd"/>
      <w:r w:rsidRPr="37EC7F24">
        <w:rPr>
          <w:lang w:eastAsia="en-AU" w:bidi="ar-SA"/>
        </w:rPr>
        <w:t xml:space="preserve">/mL </w:t>
      </w:r>
      <w:r w:rsidR="00E50EAB" w:rsidRPr="37EC7F24">
        <w:rPr>
          <w:lang w:eastAsia="en-AU" w:bidi="ar-SA"/>
        </w:rPr>
        <w:t>was similar to vehicle controls</w:t>
      </w:r>
      <w:r w:rsidRPr="37EC7F24">
        <w:rPr>
          <w:lang w:eastAsia="en-AU" w:bidi="ar-SA"/>
        </w:rPr>
        <w:t xml:space="preserve">. However, analysis of additional cells from both of the replicate cultures at this concentration demonstrated an overall response that was not different from the vehicle control, and within the laboratory’s historical vehicle control values. As such, this isolated observation was considered spurious. A statistically significant increase in the frequency of MNBN cells was observed at 5000 </w:t>
      </w:r>
      <w:proofErr w:type="spellStart"/>
      <w:r w:rsidRPr="37EC7F24">
        <w:rPr>
          <w:lang w:eastAsia="en-AU" w:bidi="ar-SA"/>
        </w:rPr>
        <w:t>μg</w:t>
      </w:r>
      <w:proofErr w:type="spellEnd"/>
      <w:r w:rsidRPr="37EC7F24">
        <w:rPr>
          <w:lang w:eastAsia="en-AU" w:bidi="ar-SA"/>
        </w:rPr>
        <w:t xml:space="preserve">/mL following long-term treatment, </w:t>
      </w:r>
      <w:r w:rsidR="00E50EAB" w:rsidRPr="37EC7F24">
        <w:rPr>
          <w:lang w:eastAsia="en-AU" w:bidi="ar-SA"/>
        </w:rPr>
        <w:t>but</w:t>
      </w:r>
      <w:r w:rsidRPr="37EC7F24">
        <w:rPr>
          <w:lang w:eastAsia="en-AU" w:bidi="ar-SA"/>
        </w:rPr>
        <w:t xml:space="preserve"> there was no evidence of a dose-</w:t>
      </w:r>
      <w:r w:rsidRPr="37EC7F24">
        <w:rPr>
          <w:lang w:eastAsia="en-AU" w:bidi="ar-SA"/>
        </w:rPr>
        <w:lastRenderedPageBreak/>
        <w:t>response, the increase was small, and</w:t>
      </w:r>
      <w:r w:rsidR="00836D2F" w:rsidRPr="37EC7F24">
        <w:rPr>
          <w:lang w:eastAsia="en-AU" w:bidi="ar-SA"/>
        </w:rPr>
        <w:t xml:space="preserve"> it</w:t>
      </w:r>
      <w:r w:rsidRPr="37EC7F24">
        <w:rPr>
          <w:lang w:eastAsia="en-AU" w:bidi="ar-SA"/>
        </w:rPr>
        <w:t xml:space="preserve"> fell within the historical control range. This slight increase was therefore not considered of biological importance. </w:t>
      </w:r>
      <w:r w:rsidR="00E50EAB" w:rsidRPr="37EC7F24">
        <w:rPr>
          <w:lang w:eastAsia="en-AU" w:bidi="ar-SA"/>
        </w:rPr>
        <w:t xml:space="preserve">All positive controls induced significant increases in the proportion of cells with micronuclei, confirming the validity of the test system. </w:t>
      </w:r>
    </w:p>
    <w:p w14:paraId="325E5711" w14:textId="4349C84C" w:rsidR="00E50EAB" w:rsidRPr="00712635" w:rsidRDefault="00E50EAB" w:rsidP="002432EC">
      <w:pPr>
        <w:rPr>
          <w:lang w:eastAsia="en-AU" w:bidi="ar-SA"/>
        </w:rPr>
      </w:pPr>
      <w:r>
        <w:rPr>
          <w:lang w:eastAsia="en-AU" w:bidi="ar-SA"/>
        </w:rPr>
        <w:t>It was concluded that glucoamylase PPY34422 did</w:t>
      </w:r>
      <w:r w:rsidR="008C07DF">
        <w:rPr>
          <w:lang w:eastAsia="en-AU" w:bidi="ar-SA"/>
        </w:rPr>
        <w:t xml:space="preserve"> not</w:t>
      </w:r>
      <w:r>
        <w:rPr>
          <w:lang w:eastAsia="en-AU" w:bidi="ar-SA"/>
        </w:rPr>
        <w:t xml:space="preserve"> induce micronuclei under the conditions of this study. </w:t>
      </w:r>
    </w:p>
    <w:p w14:paraId="58786AAB" w14:textId="469B1774" w:rsidR="000D2331" w:rsidRDefault="000D2331" w:rsidP="000D2331">
      <w:pPr>
        <w:pStyle w:val="Heading3"/>
      </w:pPr>
      <w:bookmarkStart w:id="196" w:name="_Toc100321349"/>
      <w:bookmarkStart w:id="197" w:name="_Toc100325034"/>
      <w:bookmarkStart w:id="198" w:name="_Toc109984728"/>
      <w:r>
        <w:t>3.3.4</w:t>
      </w:r>
      <w:r>
        <w:tab/>
        <w:t>Potential for allergenicity</w:t>
      </w:r>
      <w:bookmarkEnd w:id="196"/>
      <w:bookmarkEnd w:id="197"/>
      <w:bookmarkEnd w:id="198"/>
    </w:p>
    <w:p w14:paraId="33467767" w14:textId="0A976A3F" w:rsidR="005F23C0" w:rsidRDefault="00786902" w:rsidP="00136983">
      <w:pPr>
        <w:spacing w:after="240"/>
        <w:rPr>
          <w:lang w:eastAsia="en-AU" w:bidi="ar-SA"/>
        </w:rPr>
      </w:pPr>
      <w:r>
        <w:rPr>
          <w:lang w:eastAsia="en-AU" w:bidi="ar-SA"/>
        </w:rPr>
        <w:t xml:space="preserve">The applicant provided details of </w:t>
      </w:r>
      <w:r w:rsidR="00E63F21">
        <w:rPr>
          <w:lang w:eastAsia="en-AU" w:bidi="ar-SA"/>
        </w:rPr>
        <w:t xml:space="preserve">the following searches for amino acid sequence homology of the glucoamylase enzyme to known allergens, using the </w:t>
      </w:r>
      <w:hyperlink r:id="rId22" w:history="1">
        <w:proofErr w:type="spellStart"/>
        <w:r w:rsidR="005F23C0" w:rsidRPr="00F2267D">
          <w:rPr>
            <w:rStyle w:val="Hyperlink"/>
            <w:lang w:eastAsia="en-AU" w:bidi="ar-SA"/>
          </w:rPr>
          <w:t>AllergenOnline</w:t>
        </w:r>
        <w:proofErr w:type="spellEnd"/>
      </w:hyperlink>
      <w:r w:rsidR="005F23C0">
        <w:rPr>
          <w:lang w:eastAsia="en-AU" w:bidi="ar-SA"/>
        </w:rPr>
        <w:t xml:space="preserve"> database:</w:t>
      </w:r>
    </w:p>
    <w:p w14:paraId="63096E92" w14:textId="4E4939FC" w:rsidR="005F23C0" w:rsidRDefault="00E1160E" w:rsidP="008F39E2">
      <w:pPr>
        <w:pStyle w:val="FSBullet1"/>
        <w:rPr>
          <w:lang w:eastAsia="en-AU"/>
        </w:rPr>
      </w:pPr>
      <w:r>
        <w:rPr>
          <w:lang w:eastAsia="en-AU"/>
        </w:rPr>
        <w:t>35% identity over 80 amino acids</w:t>
      </w:r>
    </w:p>
    <w:p w14:paraId="7614D2B1" w14:textId="40A6C48B" w:rsidR="00E1160E" w:rsidRDefault="00E1160E" w:rsidP="008F39E2">
      <w:pPr>
        <w:pStyle w:val="FSBullet1"/>
        <w:rPr>
          <w:lang w:eastAsia="en-AU"/>
        </w:rPr>
      </w:pPr>
      <w:r>
        <w:rPr>
          <w:lang w:eastAsia="en-AU"/>
        </w:rPr>
        <w:t xml:space="preserve">35% identity over 80 amino acids </w:t>
      </w:r>
      <w:r w:rsidR="004D4B3E">
        <w:rPr>
          <w:lang w:eastAsia="en-AU"/>
        </w:rPr>
        <w:t>with scaling enabled</w:t>
      </w:r>
    </w:p>
    <w:p w14:paraId="504CF728" w14:textId="19B8DC36" w:rsidR="004D4B3E" w:rsidRDefault="00CF4DB2" w:rsidP="008F39E2">
      <w:pPr>
        <w:pStyle w:val="FSBullet1"/>
        <w:rPr>
          <w:lang w:eastAsia="en-AU"/>
        </w:rPr>
      </w:pPr>
      <w:r>
        <w:rPr>
          <w:lang w:eastAsia="en-AU"/>
        </w:rPr>
        <w:t>Full length alignment</w:t>
      </w:r>
    </w:p>
    <w:p w14:paraId="56ACCC32" w14:textId="0CA02870" w:rsidR="00CF4DB2" w:rsidRDefault="00CF4DB2" w:rsidP="00136983">
      <w:pPr>
        <w:pStyle w:val="FSBullet1"/>
        <w:spacing w:after="240"/>
        <w:rPr>
          <w:lang w:eastAsia="en-AU"/>
        </w:rPr>
      </w:pPr>
      <w:r>
        <w:rPr>
          <w:lang w:eastAsia="en-AU"/>
        </w:rPr>
        <w:t>100% identity over 8 contiguous amino acids</w:t>
      </w:r>
    </w:p>
    <w:p w14:paraId="3DA28777" w14:textId="247DE44F" w:rsidR="00524E33" w:rsidRDefault="00B3755C" w:rsidP="00136983">
      <w:pPr>
        <w:spacing w:after="240"/>
        <w:rPr>
          <w:lang w:eastAsia="en-AU" w:bidi="ar-SA"/>
        </w:rPr>
      </w:pPr>
      <w:r w:rsidRPr="37EC7F24">
        <w:rPr>
          <w:lang w:eastAsia="en-AU" w:bidi="ar-SA"/>
        </w:rPr>
        <w:t>The sequence homology assessment found matches with &gt; 35% identity</w:t>
      </w:r>
      <w:r w:rsidR="006B64EC">
        <w:rPr>
          <w:lang w:eastAsia="en-AU" w:bidi="ar-SA"/>
        </w:rPr>
        <w:t xml:space="preserve"> in the first three searches</w:t>
      </w:r>
      <w:r w:rsidRPr="37EC7F24">
        <w:rPr>
          <w:lang w:eastAsia="en-AU" w:bidi="ar-SA"/>
        </w:rPr>
        <w:t xml:space="preserve">, </w:t>
      </w:r>
      <w:r w:rsidR="006B64EC">
        <w:rPr>
          <w:lang w:eastAsia="en-AU" w:bidi="ar-SA"/>
        </w:rPr>
        <w:t>and matches with</w:t>
      </w:r>
      <w:r w:rsidR="006B64EC" w:rsidRPr="37EC7F24">
        <w:rPr>
          <w:lang w:eastAsia="en-AU" w:bidi="ar-SA"/>
        </w:rPr>
        <w:t xml:space="preserve"> </w:t>
      </w:r>
      <w:r w:rsidRPr="37EC7F24">
        <w:rPr>
          <w:lang w:eastAsia="en-AU" w:bidi="ar-SA"/>
        </w:rPr>
        <w:t xml:space="preserve">100% identity over 8 amino acids, to </w:t>
      </w:r>
      <w:proofErr w:type="spellStart"/>
      <w:r w:rsidRPr="37EC7F24">
        <w:rPr>
          <w:lang w:eastAsia="en-AU" w:bidi="ar-SA"/>
        </w:rPr>
        <w:t>Sch</w:t>
      </w:r>
      <w:proofErr w:type="spellEnd"/>
      <w:r w:rsidRPr="37EC7F24">
        <w:rPr>
          <w:lang w:eastAsia="en-AU" w:bidi="ar-SA"/>
        </w:rPr>
        <w:t xml:space="preserve"> c 1, a glucoamylase originating from </w:t>
      </w:r>
      <w:proofErr w:type="spellStart"/>
      <w:r w:rsidRPr="37EC7F24">
        <w:rPr>
          <w:i/>
          <w:iCs/>
          <w:lang w:eastAsia="en-AU" w:bidi="ar-SA"/>
        </w:rPr>
        <w:t>Shizophyllum</w:t>
      </w:r>
      <w:proofErr w:type="spellEnd"/>
      <w:r w:rsidRPr="37EC7F24">
        <w:rPr>
          <w:i/>
          <w:iCs/>
          <w:lang w:eastAsia="en-AU" w:bidi="ar-SA"/>
        </w:rPr>
        <w:t xml:space="preserve"> commune</w:t>
      </w:r>
      <w:r w:rsidR="006B64EC" w:rsidRPr="006B64EC">
        <w:rPr>
          <w:iCs/>
          <w:lang w:eastAsia="en-AU" w:bidi="ar-SA"/>
        </w:rPr>
        <w:t xml:space="preserve">. </w:t>
      </w:r>
      <w:proofErr w:type="spellStart"/>
      <w:r w:rsidR="006B64EC">
        <w:rPr>
          <w:iCs/>
          <w:lang w:eastAsia="en-AU" w:bidi="ar-SA"/>
        </w:rPr>
        <w:t>Sch</w:t>
      </w:r>
      <w:proofErr w:type="spellEnd"/>
      <w:r w:rsidR="006B64EC">
        <w:rPr>
          <w:iCs/>
          <w:lang w:eastAsia="en-AU" w:bidi="ar-SA"/>
        </w:rPr>
        <w:t xml:space="preserve"> c 1</w:t>
      </w:r>
      <w:r w:rsidR="00046666" w:rsidRPr="37EC7F24">
        <w:rPr>
          <w:lang w:eastAsia="en-AU" w:bidi="ar-SA"/>
        </w:rPr>
        <w:t xml:space="preserve"> </w:t>
      </w:r>
      <w:r w:rsidR="00737F78" w:rsidRPr="37EC7F24">
        <w:rPr>
          <w:lang w:eastAsia="en-AU" w:bidi="ar-SA"/>
        </w:rPr>
        <w:t>has been identified</w:t>
      </w:r>
      <w:r w:rsidR="00046666" w:rsidRPr="37EC7F24">
        <w:rPr>
          <w:lang w:eastAsia="en-AU" w:bidi="ar-SA"/>
        </w:rPr>
        <w:t xml:space="preserve"> as a </w:t>
      </w:r>
      <w:r w:rsidR="00737F78" w:rsidRPr="37EC7F24">
        <w:rPr>
          <w:lang w:eastAsia="en-AU" w:bidi="ar-SA"/>
        </w:rPr>
        <w:t xml:space="preserve">respiratory allergen but not </w:t>
      </w:r>
      <w:r w:rsidR="00F80962" w:rsidRPr="37EC7F24">
        <w:rPr>
          <w:lang w:eastAsia="en-AU" w:bidi="ar-SA"/>
        </w:rPr>
        <w:t xml:space="preserve">as </w:t>
      </w:r>
      <w:r w:rsidR="00737F78" w:rsidRPr="37EC7F24">
        <w:rPr>
          <w:lang w:eastAsia="en-AU" w:bidi="ar-SA"/>
        </w:rPr>
        <w:t xml:space="preserve">a food allergen. </w:t>
      </w:r>
      <w:r w:rsidR="009856CE" w:rsidRPr="37EC7F24">
        <w:rPr>
          <w:i/>
          <w:iCs/>
        </w:rPr>
        <w:t>S. commune</w:t>
      </w:r>
      <w:r w:rsidR="009856CE">
        <w:t xml:space="preserve"> (</w:t>
      </w:r>
      <w:proofErr w:type="spellStart"/>
      <w:r w:rsidR="009856CE">
        <w:t>splitgill</w:t>
      </w:r>
      <w:proofErr w:type="spellEnd"/>
      <w:r w:rsidR="009856CE">
        <w:t xml:space="preserve"> mushroom) is eaten in Africa, Asia, the Indian subcontinent, and Central America but is not associated with reports of food allergy.</w:t>
      </w:r>
    </w:p>
    <w:p w14:paraId="7357ABF0" w14:textId="5DC9798B" w:rsidR="009A5975" w:rsidRDefault="00331A87" w:rsidP="00136983">
      <w:pPr>
        <w:spacing w:after="240"/>
        <w:rPr>
          <w:szCs w:val="22"/>
        </w:rPr>
      </w:pPr>
      <w:r>
        <w:rPr>
          <w:lang w:eastAsia="en-AU" w:bidi="ar-SA"/>
        </w:rPr>
        <w:t>Respiratory allergens are not usually food allergens, and s</w:t>
      </w:r>
      <w:r w:rsidR="008A5EF8">
        <w:rPr>
          <w:lang w:eastAsia="en-AU" w:bidi="ar-SA"/>
        </w:rPr>
        <w:t xml:space="preserve">tudies have indicated that individuals with occupational respiratory allergies can ingest the </w:t>
      </w:r>
      <w:r w:rsidR="00CF4035">
        <w:rPr>
          <w:lang w:eastAsia="en-AU" w:bidi="ar-SA"/>
        </w:rPr>
        <w:t xml:space="preserve">respiratory allergen without </w:t>
      </w:r>
      <w:r w:rsidR="00122BD3">
        <w:rPr>
          <w:lang w:eastAsia="en-AU" w:bidi="ar-SA"/>
        </w:rPr>
        <w:t>developing food allergy (</w:t>
      </w:r>
      <w:proofErr w:type="spellStart"/>
      <w:r w:rsidR="00F73D38">
        <w:rPr>
          <w:lang w:eastAsia="en-AU" w:bidi="ar-SA"/>
        </w:rPr>
        <w:t>Armentia</w:t>
      </w:r>
      <w:proofErr w:type="spellEnd"/>
      <w:r w:rsidR="00F73D38">
        <w:rPr>
          <w:lang w:eastAsia="en-AU" w:bidi="ar-SA"/>
        </w:rPr>
        <w:t xml:space="preserve"> et al</w:t>
      </w:r>
      <w:r w:rsidR="000715AF">
        <w:rPr>
          <w:lang w:eastAsia="en-AU" w:bidi="ar-SA"/>
        </w:rPr>
        <w:t>.</w:t>
      </w:r>
      <w:r w:rsidR="00F73D38">
        <w:rPr>
          <w:lang w:eastAsia="en-AU" w:bidi="ar-SA"/>
        </w:rPr>
        <w:t xml:space="preserve"> 2009; </w:t>
      </w:r>
      <w:r w:rsidR="001471FC">
        <w:rPr>
          <w:lang w:eastAsia="en-AU" w:bidi="ar-SA"/>
        </w:rPr>
        <w:t>Cullinan et al</w:t>
      </w:r>
      <w:r w:rsidR="00087E85">
        <w:rPr>
          <w:lang w:eastAsia="en-AU" w:bidi="ar-SA"/>
        </w:rPr>
        <w:t>.</w:t>
      </w:r>
      <w:r w:rsidR="001471FC">
        <w:rPr>
          <w:lang w:eastAsia="en-AU" w:bidi="ar-SA"/>
        </w:rPr>
        <w:t xml:space="preserve"> 1997;</w:t>
      </w:r>
      <w:r w:rsidR="00F73D38">
        <w:rPr>
          <w:lang w:eastAsia="en-AU" w:bidi="ar-SA"/>
        </w:rPr>
        <w:t xml:space="preserve"> Poul</w:t>
      </w:r>
      <w:r w:rsidR="001471FC">
        <w:rPr>
          <w:lang w:eastAsia="en-AU" w:bidi="ar-SA"/>
        </w:rPr>
        <w:t>sen 2004).</w:t>
      </w:r>
      <w:r w:rsidR="00B21956">
        <w:rPr>
          <w:lang w:eastAsia="en-AU" w:bidi="ar-SA"/>
        </w:rPr>
        <w:t xml:space="preserve"> </w:t>
      </w:r>
      <w:r w:rsidR="00D11B62" w:rsidRPr="00D11B62">
        <w:rPr>
          <w:lang w:eastAsia="en-AU" w:bidi="ar-SA"/>
        </w:rPr>
        <w:t xml:space="preserve">No food allergy responses to 19 microbially-derived food enzymes, including </w:t>
      </w:r>
      <w:r w:rsidR="00B03BDA">
        <w:rPr>
          <w:lang w:eastAsia="en-AU" w:bidi="ar-SA"/>
        </w:rPr>
        <w:t>a glucoamylase</w:t>
      </w:r>
      <w:r w:rsidR="00D11B62" w:rsidRPr="00D11B62">
        <w:rPr>
          <w:lang w:eastAsia="en-AU" w:bidi="ar-SA"/>
        </w:rPr>
        <w:t xml:space="preserve"> from </w:t>
      </w:r>
      <w:r w:rsidR="00087E85">
        <w:rPr>
          <w:i/>
          <w:lang w:eastAsia="en-AU" w:bidi="ar-SA"/>
        </w:rPr>
        <w:t xml:space="preserve">A. </w:t>
      </w:r>
      <w:r w:rsidR="00B03BDA" w:rsidRPr="00B03BDA">
        <w:rPr>
          <w:i/>
          <w:lang w:eastAsia="en-AU" w:bidi="ar-SA"/>
        </w:rPr>
        <w:t>niger</w:t>
      </w:r>
      <w:r w:rsidR="00D11B62" w:rsidRPr="00D11B62">
        <w:rPr>
          <w:lang w:eastAsia="en-AU" w:bidi="ar-SA"/>
        </w:rPr>
        <w:t>, were found in a study of 400 individuals with allergy to inhalation, food or other allergens</w:t>
      </w:r>
      <w:r w:rsidR="00B03BDA">
        <w:rPr>
          <w:lang w:eastAsia="en-AU" w:bidi="ar-SA"/>
        </w:rPr>
        <w:t xml:space="preserve"> (</w:t>
      </w:r>
      <w:proofErr w:type="spellStart"/>
      <w:r w:rsidR="00B03BDA">
        <w:rPr>
          <w:lang w:eastAsia="en-AU" w:bidi="ar-SA"/>
        </w:rPr>
        <w:t>Bindslev</w:t>
      </w:r>
      <w:proofErr w:type="spellEnd"/>
      <w:r w:rsidR="00B03BDA">
        <w:rPr>
          <w:lang w:eastAsia="en-AU" w:bidi="ar-SA"/>
        </w:rPr>
        <w:t>-Jensen et al</w:t>
      </w:r>
      <w:r w:rsidR="00087E85">
        <w:rPr>
          <w:lang w:eastAsia="en-AU" w:bidi="ar-SA"/>
        </w:rPr>
        <w:t>.</w:t>
      </w:r>
      <w:r w:rsidR="00B03BDA">
        <w:rPr>
          <w:lang w:eastAsia="en-AU" w:bidi="ar-SA"/>
        </w:rPr>
        <w:t xml:space="preserve"> 2006)</w:t>
      </w:r>
      <w:r w:rsidR="00D11B62">
        <w:rPr>
          <w:lang w:eastAsia="en-AU" w:bidi="ar-SA"/>
        </w:rPr>
        <w:t>.</w:t>
      </w:r>
      <w:r w:rsidR="00B03BDA">
        <w:rPr>
          <w:lang w:eastAsia="en-AU" w:bidi="ar-SA"/>
        </w:rPr>
        <w:t xml:space="preserve"> </w:t>
      </w:r>
    </w:p>
    <w:p w14:paraId="6AA72C3C" w14:textId="6812FAD2" w:rsidR="00020A9C" w:rsidRPr="00D8367F" w:rsidRDefault="009A5975" w:rsidP="00D8367F">
      <w:pPr>
        <w:rPr>
          <w:lang w:eastAsia="en-AU" w:bidi="ar-SA"/>
        </w:rPr>
      </w:pPr>
      <w:r>
        <w:rPr>
          <w:szCs w:val="22"/>
        </w:rPr>
        <w:t>B</w:t>
      </w:r>
      <w:r w:rsidR="002B79A8">
        <w:rPr>
          <w:szCs w:val="22"/>
        </w:rPr>
        <w:t xml:space="preserve">ased on the available evidence, taken together with the very low levels of glucoamylase expected to be present in the final foods following use, the risk of food allergy from use of </w:t>
      </w:r>
      <w:r w:rsidR="0071164C">
        <w:rPr>
          <w:szCs w:val="22"/>
        </w:rPr>
        <w:t xml:space="preserve">the </w:t>
      </w:r>
      <w:r w:rsidR="002B79A8">
        <w:rPr>
          <w:szCs w:val="22"/>
        </w:rPr>
        <w:t xml:space="preserve">glucoamylase </w:t>
      </w:r>
      <w:r w:rsidR="0071164C">
        <w:rPr>
          <w:szCs w:val="22"/>
        </w:rPr>
        <w:t>enzyme</w:t>
      </w:r>
      <w:r w:rsidR="002B79A8">
        <w:rPr>
          <w:szCs w:val="22"/>
        </w:rPr>
        <w:t xml:space="preserve"> is likely to be negligible.</w:t>
      </w:r>
    </w:p>
    <w:p w14:paraId="57850966" w14:textId="67E00754" w:rsidR="00237082" w:rsidRPr="00237082" w:rsidRDefault="000D2331" w:rsidP="00237082">
      <w:pPr>
        <w:pStyle w:val="Heading3"/>
        <w:ind w:left="0" w:firstLine="0"/>
      </w:pPr>
      <w:bookmarkStart w:id="199" w:name="_Toc100321350"/>
      <w:bookmarkStart w:id="200" w:name="_Toc100325035"/>
      <w:bookmarkStart w:id="201" w:name="_Toc109984729"/>
      <w:r>
        <w:t>3.3.5</w:t>
      </w:r>
      <w:r>
        <w:tab/>
        <w:t>Assessments by other regulatory agencies</w:t>
      </w:r>
      <w:bookmarkEnd w:id="199"/>
      <w:bookmarkEnd w:id="200"/>
      <w:bookmarkEnd w:id="201"/>
    </w:p>
    <w:p w14:paraId="1A8A31E7" w14:textId="2BB95CF4" w:rsidR="00280955" w:rsidRPr="00280955" w:rsidRDefault="008127D5" w:rsidP="00280955">
      <w:pPr>
        <w:rPr>
          <w:lang w:eastAsia="en-AU" w:bidi="ar-SA"/>
        </w:rPr>
      </w:pPr>
      <w:r>
        <w:rPr>
          <w:lang w:eastAsia="en-AU" w:bidi="ar-SA"/>
        </w:rPr>
        <w:t xml:space="preserve">The enzyme has been approved for use in Denmark, but no safety assessment underlying this approval is publicly available. </w:t>
      </w:r>
    </w:p>
    <w:p w14:paraId="10EE65CD" w14:textId="671EC61A" w:rsidR="001A68E4" w:rsidRDefault="001A68E4" w:rsidP="00F42F9D">
      <w:pPr>
        <w:pStyle w:val="Heading2"/>
      </w:pPr>
      <w:bookmarkStart w:id="202" w:name="_Toc90553199"/>
      <w:bookmarkStart w:id="203" w:name="_Toc90641292"/>
      <w:bookmarkStart w:id="204" w:name="_Toc90649555"/>
      <w:bookmarkStart w:id="205" w:name="_Toc90983321"/>
      <w:bookmarkStart w:id="206" w:name="_Toc94531003"/>
      <w:bookmarkStart w:id="207" w:name="_Toc100321351"/>
      <w:bookmarkStart w:id="208" w:name="_Toc100325036"/>
      <w:bookmarkStart w:id="209" w:name="_Toc109984730"/>
      <w:r w:rsidRPr="00DD6B6A">
        <w:t>3.</w:t>
      </w:r>
      <w:r>
        <w:t>4</w:t>
      </w:r>
      <w:r>
        <w:tab/>
        <w:t>Dietary exposure assessment</w:t>
      </w:r>
      <w:bookmarkEnd w:id="202"/>
      <w:bookmarkEnd w:id="203"/>
      <w:bookmarkEnd w:id="204"/>
      <w:bookmarkEnd w:id="205"/>
      <w:bookmarkEnd w:id="206"/>
      <w:bookmarkEnd w:id="207"/>
      <w:bookmarkEnd w:id="208"/>
      <w:bookmarkEnd w:id="209"/>
    </w:p>
    <w:p w14:paraId="6AC139CF" w14:textId="6718DFE3" w:rsidR="000B35F2" w:rsidRDefault="000B35F2" w:rsidP="00136983">
      <w:pPr>
        <w:spacing w:after="240"/>
        <w:rPr>
          <w:rFonts w:cstheme="minorHAnsi"/>
        </w:rPr>
      </w:pPr>
      <w:r w:rsidRPr="00BB1F02">
        <w:rPr>
          <w:rFonts w:cstheme="minorHAnsi"/>
        </w:rPr>
        <w:t xml:space="preserve">The objective of the dietary exposure assessment was to review the budget method calculation presented by the applicant as a ‘worse-case scenario’ approach to estimating likely levels of dietary exposure, assuming all added </w:t>
      </w:r>
      <w:r>
        <w:t>g</w:t>
      </w:r>
      <w:r w:rsidRPr="009E035E">
        <w:t>lucoamylase</w:t>
      </w:r>
      <w:r>
        <w:rPr>
          <w:szCs w:val="22"/>
        </w:rPr>
        <w:t xml:space="preserve"> enzyme from GM </w:t>
      </w:r>
      <w:r w:rsidR="00101C9B">
        <w:rPr>
          <w:i/>
        </w:rPr>
        <w:t>A.</w:t>
      </w:r>
      <w:r>
        <w:rPr>
          <w:i/>
        </w:rPr>
        <w:t xml:space="preserve"> niger</w:t>
      </w:r>
      <w:r w:rsidRPr="000B35F2">
        <w:t xml:space="preserve"> </w:t>
      </w:r>
      <w:r w:rsidRPr="000B35F2">
        <w:rPr>
          <w:i/>
        </w:rPr>
        <w:t>(</w:t>
      </w:r>
      <w:r w:rsidRPr="000B35F2">
        <w:t>containing the glucoamylase gene from</w:t>
      </w:r>
      <w:r w:rsidR="0028736E">
        <w:rPr>
          <w:i/>
        </w:rPr>
        <w:t xml:space="preserve"> P.</w:t>
      </w:r>
      <w:r w:rsidRPr="000B35F2">
        <w:rPr>
          <w:i/>
        </w:rPr>
        <w:t xml:space="preserve"> oxalicum)</w:t>
      </w:r>
      <w:r>
        <w:t xml:space="preserve"> </w:t>
      </w:r>
      <w:r w:rsidRPr="00BB1F02">
        <w:rPr>
          <w:rFonts w:cstheme="minorHAnsi"/>
        </w:rPr>
        <w:t>remained in the food.</w:t>
      </w:r>
    </w:p>
    <w:p w14:paraId="717E2F1D" w14:textId="7925732E" w:rsidR="000B35F2" w:rsidRDefault="000B35F2" w:rsidP="00136983">
      <w:pPr>
        <w:spacing w:after="240"/>
        <w:rPr>
          <w:rFonts w:eastAsia="Arial" w:cs="Arial"/>
          <w:szCs w:val="22"/>
        </w:rPr>
      </w:pPr>
      <w:r w:rsidRPr="3CEA6639">
        <w:rPr>
          <w:rFonts w:cstheme="minorBidi"/>
        </w:rPr>
        <w:t xml:space="preserve">The budget method is </w:t>
      </w:r>
      <w:r w:rsidRPr="00FE3D2B">
        <w:rPr>
          <w:rFonts w:cstheme="minorBidi"/>
        </w:rPr>
        <w:t>a valid screening tool for estimating the theoretical maximum daily intake (TMDI) of a food additive (Douglass et al</w:t>
      </w:r>
      <w:r w:rsidR="008F3734">
        <w:rPr>
          <w:rFonts w:cstheme="minorBidi"/>
        </w:rPr>
        <w:t>.</w:t>
      </w:r>
      <w:r w:rsidRPr="00FE3D2B">
        <w:rPr>
          <w:rFonts w:cstheme="minorBidi"/>
        </w:rPr>
        <w:t xml:space="preserve"> 1997). The calculation is based on physiological food and liquid requirements, the food additive concentration in foods and beverages, and the proportion of foods and beverages that may contain the food additive. The TMDI can then be compared to an acceptable daily intake (ADI) or a NOAEL to estimate </w:t>
      </w:r>
      <w:r w:rsidRPr="00FE3D2B">
        <w:rPr>
          <w:rFonts w:cstheme="minorBidi"/>
        </w:rPr>
        <w:lastRenderedPageBreak/>
        <w:t xml:space="preserve">a margin of exposure for risk characterisation purposes. </w:t>
      </w:r>
      <w:r w:rsidRPr="00FE3D2B">
        <w:rPr>
          <w:rFonts w:eastAsia="Arial" w:cs="Arial"/>
          <w:szCs w:val="22"/>
        </w:rPr>
        <w:t>Whilst the budget method was originally developed for use in assessing food additives, it is also appropriate to use for estimating the TMDI for processing aids (FAO/WHO 2020). The method is used by international regulatory bodies and the FAO/WHO Joint Expert Committee on Food Additives (JECFA) (FAO/WHO 2021) for dietary exposure assessments for processing aids.</w:t>
      </w:r>
    </w:p>
    <w:p w14:paraId="29C07326" w14:textId="2B85F330" w:rsidR="000B35F2" w:rsidRDefault="000B35F2" w:rsidP="00136983">
      <w:pPr>
        <w:spacing w:after="240"/>
        <w:rPr>
          <w:szCs w:val="22"/>
        </w:rPr>
      </w:pPr>
      <w:r w:rsidRPr="00BB1F02">
        <w:rPr>
          <w:rFonts w:cstheme="minorHAnsi"/>
        </w:rPr>
        <w:t>In their budget method calculation, the applicant made the following assumptions:</w:t>
      </w:r>
    </w:p>
    <w:p w14:paraId="2899EFAA" w14:textId="2ECFA1A6" w:rsidR="007F1A60" w:rsidRPr="007F1A60" w:rsidRDefault="007F1A60" w:rsidP="007F1A60">
      <w:pPr>
        <w:pStyle w:val="ListParagraph"/>
        <w:numPr>
          <w:ilvl w:val="0"/>
          <w:numId w:val="10"/>
        </w:numPr>
      </w:pPr>
      <w:r w:rsidRPr="005D1355">
        <w:t xml:space="preserve">the maximum physiological requirement of solid foods (including milk) is 25 g/kg body </w:t>
      </w:r>
      <w:r w:rsidRPr="007F1A60">
        <w:t>weight/day</w:t>
      </w:r>
    </w:p>
    <w:p w14:paraId="348C16F0" w14:textId="77777777" w:rsidR="007F1A60" w:rsidRPr="007F1A60" w:rsidRDefault="007F1A60" w:rsidP="007F1A60">
      <w:pPr>
        <w:pStyle w:val="ListParagraph"/>
        <w:numPr>
          <w:ilvl w:val="0"/>
          <w:numId w:val="10"/>
        </w:numPr>
      </w:pPr>
      <w:r w:rsidRPr="007F1A60">
        <w:rPr>
          <w:rStyle w:val="normaltextrun"/>
          <w:rFonts w:eastAsiaTheme="majorEastAsia" w:cs="Arial"/>
        </w:rPr>
        <w:t>the maximum physiological requirement for non-milk beverages is 100 mL/kg body weight/day (the standard level used in a budget method calculation)</w:t>
      </w:r>
      <w:r w:rsidRPr="007F1A60">
        <w:rPr>
          <w:rStyle w:val="eop"/>
          <w:rFonts w:cs="Arial"/>
        </w:rPr>
        <w:t> </w:t>
      </w:r>
    </w:p>
    <w:p w14:paraId="7D58C848" w14:textId="77777777" w:rsidR="007F1A60" w:rsidRPr="007F1A60" w:rsidRDefault="007F1A60" w:rsidP="007F1A60">
      <w:pPr>
        <w:pStyle w:val="ListParagraph"/>
        <w:numPr>
          <w:ilvl w:val="0"/>
          <w:numId w:val="10"/>
        </w:numPr>
      </w:pPr>
      <w:r w:rsidRPr="007F1A60">
        <w:t>50% of solid foods and 25% of non-milk beverages are processed foods</w:t>
      </w:r>
    </w:p>
    <w:p w14:paraId="52085CDA" w14:textId="0C62681C" w:rsidR="007F1A60" w:rsidRPr="007F1A60" w:rsidRDefault="007F1A60" w:rsidP="007F1A60">
      <w:pPr>
        <w:pStyle w:val="ListParagraph"/>
        <w:numPr>
          <w:ilvl w:val="0"/>
          <w:numId w:val="10"/>
        </w:numPr>
      </w:pPr>
      <w:r w:rsidRPr="007F1A60">
        <w:t>processed solid foods</w:t>
      </w:r>
      <w:r w:rsidR="008E38EB">
        <w:t xml:space="preserve"> contain 25% starch or starch derived dry matter</w:t>
      </w:r>
      <w:r w:rsidRPr="007F1A60">
        <w:t xml:space="preserve"> and processed non-milk beverages contain</w:t>
      </w:r>
      <w:r w:rsidR="008E38EB">
        <w:t xml:space="preserve"> 12% starch or starch derived dry matter </w:t>
      </w:r>
    </w:p>
    <w:p w14:paraId="0D2A074D" w14:textId="2623D9F9" w:rsidR="007F1A60" w:rsidRPr="00136983" w:rsidRDefault="007F1A60" w:rsidP="00542E40">
      <w:pPr>
        <w:pStyle w:val="ListParagraph"/>
        <w:numPr>
          <w:ilvl w:val="0"/>
          <w:numId w:val="10"/>
        </w:numPr>
        <w:spacing w:after="240"/>
        <w:rPr>
          <w:lang w:val="en-AU"/>
        </w:rPr>
      </w:pPr>
      <w:r w:rsidRPr="007F1A60">
        <w:rPr>
          <w:rStyle w:val="normaltextrun"/>
          <w:rFonts w:eastAsiaTheme="majorEastAsia" w:cs="Arial"/>
        </w:rPr>
        <w:t xml:space="preserve">the maximum </w:t>
      </w:r>
      <w:r w:rsidRPr="007F1A60">
        <w:t>glucoamylase</w:t>
      </w:r>
      <w:r w:rsidRPr="007F1A60">
        <w:rPr>
          <w:rStyle w:val="normaltextrun"/>
          <w:rFonts w:eastAsiaTheme="majorEastAsia" w:cs="Arial"/>
        </w:rPr>
        <w:t xml:space="preserve"> level in final solid foods was 990 mg TOS/kg</w:t>
      </w:r>
      <w:r w:rsidR="008E38EB">
        <w:rPr>
          <w:rStyle w:val="normaltextrun"/>
          <w:rFonts w:eastAsiaTheme="majorEastAsia" w:cs="Arial"/>
        </w:rPr>
        <w:t xml:space="preserve"> (based on the level in</w:t>
      </w:r>
      <w:r w:rsidRPr="007F1A60">
        <w:rPr>
          <w:rStyle w:val="normaltextrun"/>
          <w:rFonts w:eastAsiaTheme="majorEastAsia" w:cs="Arial"/>
        </w:rPr>
        <w:t xml:space="preserve"> flour</w:t>
      </w:r>
      <w:r w:rsidR="008E38EB">
        <w:rPr>
          <w:rStyle w:val="normaltextrun"/>
          <w:rFonts w:eastAsiaTheme="majorEastAsia" w:cs="Arial"/>
        </w:rPr>
        <w:t>)</w:t>
      </w:r>
      <w:r w:rsidRPr="007F1A60">
        <w:rPr>
          <w:rStyle w:val="normaltextrun"/>
          <w:rFonts w:eastAsiaTheme="majorEastAsia" w:cs="Arial"/>
        </w:rPr>
        <w:t xml:space="preserve"> and for non-milk beverages was 929 mg TOS/kg starch (i.e. the highest use level from all uses within each group)</w:t>
      </w:r>
      <w:r w:rsidR="008E38EB">
        <w:rPr>
          <w:rStyle w:val="normaltextrun"/>
          <w:rFonts w:eastAsiaTheme="majorEastAsia" w:cs="Arial"/>
        </w:rPr>
        <w:t>.</w:t>
      </w:r>
      <w:r w:rsidRPr="007F1A60">
        <w:rPr>
          <w:rStyle w:val="eop"/>
          <w:rFonts w:cs="Arial"/>
        </w:rPr>
        <w:t> </w:t>
      </w:r>
    </w:p>
    <w:p w14:paraId="107EF751" w14:textId="28EA1764" w:rsidR="00D779A7" w:rsidRDefault="007F1A60" w:rsidP="00136983">
      <w:pPr>
        <w:spacing w:after="240"/>
        <w:rPr>
          <w:szCs w:val="22"/>
        </w:rPr>
      </w:pPr>
      <w:r w:rsidRPr="005D1355">
        <w:rPr>
          <w:szCs w:val="22"/>
          <w:lang w:val="en-AU"/>
        </w:rPr>
        <w:t>Based on these assumptions, t</w:t>
      </w:r>
      <w:r w:rsidRPr="005D1355">
        <w:rPr>
          <w:szCs w:val="22"/>
        </w:rPr>
        <w:t xml:space="preserve">he applicant </w:t>
      </w:r>
      <w:r w:rsidRPr="005D1355">
        <w:rPr>
          <w:szCs w:val="22"/>
          <w:lang w:val="en-AU"/>
        </w:rPr>
        <w:t xml:space="preserve">calculated the TMDI of </w:t>
      </w:r>
      <w:r w:rsidRPr="005D1355">
        <w:rPr>
          <w:szCs w:val="22"/>
        </w:rPr>
        <w:t xml:space="preserve">glucoamylase </w:t>
      </w:r>
      <w:r w:rsidRPr="005D1355">
        <w:rPr>
          <w:szCs w:val="22"/>
          <w:lang w:val="en-AU"/>
        </w:rPr>
        <w:t xml:space="preserve">to be </w:t>
      </w:r>
      <w:r w:rsidRPr="004122BC">
        <w:rPr>
          <w:szCs w:val="22"/>
          <w:lang w:val="en-AU"/>
        </w:rPr>
        <w:t>5.88 </w:t>
      </w:r>
      <w:r w:rsidRPr="005D1355">
        <w:rPr>
          <w:szCs w:val="22"/>
          <w:lang w:val="en-AU"/>
        </w:rPr>
        <w:t>mg TOS/kg body weight/day.</w:t>
      </w:r>
    </w:p>
    <w:p w14:paraId="2E552E76" w14:textId="77777777" w:rsidR="00E33F90" w:rsidRPr="00FE3D2B" w:rsidRDefault="00E33F90" w:rsidP="00E33F90">
      <w:r w:rsidRPr="00763863">
        <w:t xml:space="preserve">As assumptions made by the applicant differ from those that FSANZ would have made in applying the budget </w:t>
      </w:r>
      <w:r w:rsidRPr="00FE3D2B">
        <w:t>method, FSANZ independently calculated the TMDI using the following assumptions that are conservative and reflective of a first tier in estimating dietary exposure:</w:t>
      </w:r>
    </w:p>
    <w:p w14:paraId="75EBCDCD" w14:textId="29E6AB93" w:rsidR="00D779A7" w:rsidRPr="00FE3D2B" w:rsidRDefault="00D779A7" w:rsidP="00D779A7">
      <w:pPr>
        <w:pStyle w:val="ListParagraph"/>
        <w:numPr>
          <w:ilvl w:val="0"/>
          <w:numId w:val="13"/>
        </w:numPr>
        <w:spacing w:before="120" w:after="120" w:line="259" w:lineRule="auto"/>
      </w:pPr>
      <w:r>
        <w:t xml:space="preserve">the maximum physiological requirement for solid food (including milk) is 50 g/kg body weight/day. This is the standard level used in a budget method calculation where there is potential for the enzyme to be in baby foods or general purpose foods that would be consumed by infants </w:t>
      </w:r>
      <w:r w:rsidRPr="39C60823">
        <w:rPr>
          <w:rStyle w:val="normaltextrun"/>
          <w:rFonts w:eastAsiaTheme="majorEastAsia" w:cs="Arial"/>
        </w:rPr>
        <w:t>(Hansen, 1966)</w:t>
      </w:r>
      <w:r>
        <w:t>, which for this enzyme would be from the bakery products, glucose syrups and other starch hydrolysates.</w:t>
      </w:r>
    </w:p>
    <w:p w14:paraId="0CBA307D" w14:textId="253F71A5" w:rsidR="00800DBB" w:rsidRDefault="00E33F90" w:rsidP="00136983">
      <w:pPr>
        <w:pStyle w:val="FSBullet1"/>
        <w:numPr>
          <w:ilvl w:val="0"/>
          <w:numId w:val="13"/>
        </w:numPr>
        <w:spacing w:after="240"/>
      </w:pPr>
      <w:r w:rsidRPr="00FE3D2B">
        <w:rPr>
          <w:szCs w:val="22"/>
        </w:rPr>
        <w:t>FSANZ would generally assume 12.5% of solid foods contain the enzyme based on commonly used default proportions noted in the FAO/WHO Environmental</w:t>
      </w:r>
      <w:r w:rsidRPr="00FE3D2B">
        <w:t xml:space="preserve"> Health Criteria (EHC) 240 Chapter 6 on dietary exposure assessment (FAO/WHO 2009). </w:t>
      </w:r>
      <w:r w:rsidRPr="00763863">
        <w:t>However, the applicant has assumed a higher proportion of 50% based on the nature and extent of use of the enzyme and therefore FSANZ has also used this proportion for solid foods as a worst case scenario.</w:t>
      </w:r>
    </w:p>
    <w:p w14:paraId="38EFFAF9" w14:textId="5C287BE3" w:rsidR="00800DBB" w:rsidRPr="005D1355" w:rsidRDefault="00D779A7" w:rsidP="00136983">
      <w:pPr>
        <w:spacing w:after="240"/>
      </w:pPr>
      <w:r w:rsidRPr="00800DBB">
        <w:t>All other inputs and assumptions used by FSANZ remained as per those used by the applicant. The TMDI based on FSANZ’s calculations for solid food</w:t>
      </w:r>
      <w:r w:rsidR="00800DBB" w:rsidRPr="00800DBB">
        <w:t>s</w:t>
      </w:r>
      <w:r w:rsidRPr="00800DBB">
        <w:t xml:space="preserve"> and non-milk beverages were 6.19 mg TOS/kg body weight/day and 2.79 mg TOS/kg body weight/day respectively, resulting in a total of 8.97 mg TOS/kg </w:t>
      </w:r>
      <w:proofErr w:type="spellStart"/>
      <w:r w:rsidRPr="00800DBB">
        <w:t>bw</w:t>
      </w:r>
      <w:proofErr w:type="spellEnd"/>
      <w:r w:rsidRPr="00800DBB">
        <w:t>/day.</w:t>
      </w:r>
    </w:p>
    <w:p w14:paraId="22A2CBDB" w14:textId="567261F7" w:rsidR="007834E5" w:rsidRPr="00DF1089" w:rsidRDefault="00D779A7" w:rsidP="00136983">
      <w:r w:rsidRPr="009E4336">
        <w:t xml:space="preserve">Both the FSANZ and applicant’s estimates of the TMDI will be overestimates of the dietary exposure given the conservatisms in the budget method. This includes that it was assumed that the enzyme remains in the final foods and beverages. The applicant has stated that the enzyme is denatured by heat during processing or removed by </w:t>
      </w:r>
      <w:r w:rsidRPr="009E4336">
        <w:rPr>
          <w:rFonts w:cs="Arial"/>
        </w:rPr>
        <w:t>down-stream processes and does not have a function in the final food.</w:t>
      </w:r>
    </w:p>
    <w:p w14:paraId="33141D3E" w14:textId="4BB0186B" w:rsidR="004757B0" w:rsidRPr="004757B0" w:rsidRDefault="00672E4D" w:rsidP="00136983">
      <w:pPr>
        <w:pStyle w:val="Heading1"/>
        <w:tabs>
          <w:tab w:val="left" w:pos="5071"/>
        </w:tabs>
      </w:pPr>
      <w:bookmarkStart w:id="210" w:name="_Toc85204782"/>
      <w:bookmarkStart w:id="211" w:name="_Toc85211344"/>
      <w:bookmarkStart w:id="212" w:name="_Toc87259319"/>
      <w:bookmarkStart w:id="213" w:name="_Toc92790212"/>
      <w:bookmarkStart w:id="214" w:name="_Toc100321352"/>
      <w:bookmarkStart w:id="215" w:name="_Toc100325037"/>
      <w:bookmarkStart w:id="216" w:name="_Toc109984731"/>
      <w:r>
        <w:t xml:space="preserve">4 </w:t>
      </w:r>
      <w:r>
        <w:tab/>
        <w:t>Discussion</w:t>
      </w:r>
      <w:bookmarkEnd w:id="210"/>
      <w:bookmarkEnd w:id="211"/>
      <w:bookmarkEnd w:id="212"/>
      <w:bookmarkEnd w:id="213"/>
      <w:r w:rsidR="00D705B5">
        <w:t xml:space="preserve"> and Conclusion</w:t>
      </w:r>
      <w:bookmarkEnd w:id="214"/>
      <w:bookmarkEnd w:id="215"/>
      <w:bookmarkEnd w:id="216"/>
    </w:p>
    <w:p w14:paraId="0634351F" w14:textId="5258AAA4" w:rsidR="00DB6100" w:rsidRPr="00DB6100" w:rsidRDefault="00DB6100" w:rsidP="3F6E6AE9">
      <w:pPr>
        <w:spacing w:after="240"/>
      </w:pPr>
      <w:r>
        <w:t xml:space="preserve">FSANZ concludes that the proposed use of </w:t>
      </w:r>
      <w:r w:rsidR="00EC56CD">
        <w:t xml:space="preserve">this protein engineered variant of </w:t>
      </w:r>
      <w:r>
        <w:t xml:space="preserve">glucoamylase </w:t>
      </w:r>
      <w:r>
        <w:lastRenderedPageBreak/>
        <w:t xml:space="preserve">as a processing aid in baking processes, brewing processes and </w:t>
      </w:r>
      <w:r w:rsidR="00EC56CD">
        <w:t xml:space="preserve">starch processing for the production of starch hydrolysates, including glucose syrups </w:t>
      </w:r>
      <w:r>
        <w:t xml:space="preserve">is consistent with its known technological function of hydrolysis with a release of glucose. Analysis of the evidence provides adequate assurance that the use of this enzyme, in the quantity and form proposed to be used </w:t>
      </w:r>
      <w:r w:rsidR="00BD78E9" w:rsidRPr="3F6E6AE9">
        <w:rPr>
          <w:lang w:bidi="ar-SA"/>
        </w:rPr>
        <w:t xml:space="preserve">at levels consistent with </w:t>
      </w:r>
      <w:r>
        <w:t>GMP, is technologically justified. The enzyme meets international purity specifications.</w:t>
      </w:r>
    </w:p>
    <w:p w14:paraId="1719DC08" w14:textId="18F25EE0" w:rsidR="00785121" w:rsidRDefault="00DB6100" w:rsidP="00136983">
      <w:pPr>
        <w:spacing w:after="240"/>
        <w:rPr>
          <w:szCs w:val="22"/>
        </w:rPr>
      </w:pPr>
      <w:r>
        <w:t>Glucoamylase performs its technological purpose during the production of food and is not performing a technological purpose in the final food. It is therefore appropriately categorised as a process</w:t>
      </w:r>
      <w:r w:rsidR="00785121">
        <w:t xml:space="preserve">ing aid as defined in the Code. </w:t>
      </w:r>
    </w:p>
    <w:p w14:paraId="174FE3D1" w14:textId="444EAF56" w:rsidR="00DB6100" w:rsidRDefault="783FB2F0" w:rsidP="783FB2F0">
      <w:pPr>
        <w:spacing w:before="120" w:after="120" w:line="259" w:lineRule="auto"/>
      </w:pPr>
      <w:r w:rsidRPr="783FB2F0">
        <w:rPr>
          <w:rFonts w:eastAsia="Arial" w:cs="Arial"/>
          <w:color w:val="000000" w:themeColor="text1"/>
          <w:szCs w:val="22"/>
          <w:lang w:val="en-AU"/>
        </w:rPr>
        <w:t xml:space="preserve">No public health and safety concerns were identified in the assessment of protein engineered glucoamylase from modified </w:t>
      </w:r>
      <w:r w:rsidRPr="783FB2F0">
        <w:rPr>
          <w:rFonts w:eastAsia="Arial" w:cs="Arial"/>
          <w:i/>
          <w:iCs/>
          <w:color w:val="000000" w:themeColor="text1"/>
          <w:szCs w:val="22"/>
          <w:lang w:val="en-AU"/>
        </w:rPr>
        <w:t>A. niger</w:t>
      </w:r>
      <w:r w:rsidRPr="783FB2F0">
        <w:rPr>
          <w:rFonts w:eastAsia="Arial" w:cs="Arial"/>
          <w:color w:val="000000" w:themeColor="text1"/>
          <w:szCs w:val="22"/>
          <w:lang w:val="en-AU"/>
        </w:rPr>
        <w:t xml:space="preserve"> under the proposed use conditions. The </w:t>
      </w:r>
      <w:r w:rsidRPr="783FB2F0">
        <w:rPr>
          <w:rFonts w:eastAsia="Arial" w:cs="Arial"/>
          <w:i/>
          <w:iCs/>
          <w:color w:val="000000" w:themeColor="text1"/>
          <w:szCs w:val="22"/>
          <w:lang w:val="en-AU"/>
        </w:rPr>
        <w:t>A. niger</w:t>
      </w:r>
      <w:r w:rsidRPr="783FB2F0">
        <w:rPr>
          <w:rFonts w:eastAsia="Arial" w:cs="Arial"/>
          <w:color w:val="000000" w:themeColor="text1"/>
          <w:szCs w:val="22"/>
          <w:lang w:val="en-AU"/>
        </w:rPr>
        <w:t xml:space="preserve"> host is neither pathogenic nor toxigenic. </w:t>
      </w:r>
      <w:r w:rsidR="00785121">
        <w:t>Analysis of the modified production strain confirmed the presence and stability of the inserted DNA.</w:t>
      </w:r>
    </w:p>
    <w:p w14:paraId="486101E0" w14:textId="2CB854FB" w:rsidR="004733F3" w:rsidRDefault="0093543B" w:rsidP="00136983">
      <w:pPr>
        <w:spacing w:after="240"/>
        <w:rPr>
          <w:szCs w:val="22"/>
        </w:rPr>
      </w:pPr>
      <w:r>
        <w:t xml:space="preserve">Bioinformatic analysis indicated that the enzyme shows no significant homology with any known toxins. </w:t>
      </w:r>
      <w:r w:rsidR="003B6D42">
        <w:t>Glucoamylase</w:t>
      </w:r>
      <w:r w:rsidR="00E409D8">
        <w:t xml:space="preserve"> from </w:t>
      </w:r>
      <w:r w:rsidR="00473978">
        <w:t xml:space="preserve">GM </w:t>
      </w:r>
      <w:r w:rsidR="00473978" w:rsidRPr="37EC7F24">
        <w:rPr>
          <w:i/>
          <w:iCs/>
        </w:rPr>
        <w:t>A</w:t>
      </w:r>
      <w:r w:rsidRPr="37EC7F24">
        <w:rPr>
          <w:i/>
          <w:iCs/>
        </w:rPr>
        <w:t>.</w:t>
      </w:r>
      <w:r w:rsidR="00473978" w:rsidRPr="37EC7F24">
        <w:rPr>
          <w:i/>
          <w:iCs/>
        </w:rPr>
        <w:t xml:space="preserve"> niger</w:t>
      </w:r>
      <w:r w:rsidR="00473978">
        <w:t xml:space="preserve"> (gene donor: </w:t>
      </w:r>
      <w:r w:rsidRPr="37EC7F24">
        <w:rPr>
          <w:i/>
          <w:iCs/>
        </w:rPr>
        <w:t>P.</w:t>
      </w:r>
      <w:r w:rsidR="00473978" w:rsidRPr="37EC7F24">
        <w:rPr>
          <w:i/>
          <w:iCs/>
        </w:rPr>
        <w:t xml:space="preserve"> oxalicum</w:t>
      </w:r>
      <w:r w:rsidR="00473978">
        <w:t>)</w:t>
      </w:r>
      <w:r w:rsidR="00E409D8" w:rsidRPr="37EC7F24">
        <w:rPr>
          <w:rFonts w:eastAsia="ArialMT"/>
        </w:rPr>
        <w:t xml:space="preserve"> was not genotoxic </w:t>
      </w:r>
      <w:r w:rsidR="00E409D8" w:rsidRPr="37EC7F24">
        <w:rPr>
          <w:rFonts w:eastAsia="ArialMT"/>
          <w:i/>
          <w:iCs/>
        </w:rPr>
        <w:t>in vitro</w:t>
      </w:r>
      <w:r w:rsidR="00E409D8" w:rsidRPr="37EC7F24">
        <w:rPr>
          <w:rFonts w:eastAsia="ArialMT"/>
        </w:rPr>
        <w:t xml:space="preserve">. The NOAEL in a </w:t>
      </w:r>
      <w:r w:rsidR="00473978">
        <w:t xml:space="preserve">13-week </w:t>
      </w:r>
      <w:r w:rsidR="00E409D8" w:rsidRPr="37EC7F24">
        <w:rPr>
          <w:rFonts w:eastAsia="ArialMT"/>
        </w:rPr>
        <w:t xml:space="preserve">oral gavage study in rats </w:t>
      </w:r>
      <w:r w:rsidR="00E409D8">
        <w:t>was</w:t>
      </w:r>
      <w:r w:rsidR="004733F3">
        <w:t xml:space="preserve"> </w:t>
      </w:r>
      <w:r w:rsidR="00473978">
        <w:t>1360 mg</w:t>
      </w:r>
      <w:r w:rsidR="003C61AB">
        <w:t xml:space="preserve"> TOS</w:t>
      </w:r>
      <w:r w:rsidR="00473978">
        <w:t xml:space="preserve">/kg </w:t>
      </w:r>
      <w:proofErr w:type="spellStart"/>
      <w:r w:rsidR="00473978">
        <w:t>bw</w:t>
      </w:r>
      <w:proofErr w:type="spellEnd"/>
      <w:r w:rsidR="00473978">
        <w:t>/</w:t>
      </w:r>
      <w:r w:rsidR="00E409D8" w:rsidRPr="37EC7F24">
        <w:rPr>
          <w:rFonts w:eastAsia="ArialMT"/>
        </w:rPr>
        <w:t>day, the highest dose tested</w:t>
      </w:r>
      <w:r w:rsidR="00E409D8">
        <w:t xml:space="preserve">. The TMDI was calculated as </w:t>
      </w:r>
      <w:r w:rsidR="00A56A70">
        <w:t xml:space="preserve">8.97 mg TOS/kg </w:t>
      </w:r>
      <w:proofErr w:type="spellStart"/>
      <w:r w:rsidR="00A56A70">
        <w:t>bw</w:t>
      </w:r>
      <w:proofErr w:type="spellEnd"/>
      <w:r w:rsidR="00A56A70">
        <w:t>/day</w:t>
      </w:r>
      <w:r w:rsidR="00E409D8">
        <w:t>. Comparison of the NOAEL</w:t>
      </w:r>
      <w:r w:rsidR="00B42F8E">
        <w:t xml:space="preserve"> </w:t>
      </w:r>
      <w:r w:rsidR="00E409D8" w:rsidRPr="37EC7F24">
        <w:rPr>
          <w:rFonts w:eastAsia="ArialMT"/>
        </w:rPr>
        <w:t xml:space="preserve">and the calculated TMDIs gives a Margin of Exposure (MOE) of </w:t>
      </w:r>
      <w:r w:rsidR="00A56A70" w:rsidRPr="37EC7F24">
        <w:rPr>
          <w:rFonts w:eastAsia="ArialMT"/>
        </w:rPr>
        <w:t>around 150</w:t>
      </w:r>
      <w:r w:rsidR="00E409D8">
        <w:t>.</w:t>
      </w:r>
    </w:p>
    <w:p w14:paraId="6268B0B2" w14:textId="505278A1" w:rsidR="0063183B" w:rsidRDefault="004733F3" w:rsidP="00136983">
      <w:pPr>
        <w:spacing w:after="240"/>
        <w:rPr>
          <w:szCs w:val="22"/>
        </w:rPr>
      </w:pPr>
      <w:r>
        <w:rPr>
          <w:szCs w:val="22"/>
        </w:rPr>
        <w:t xml:space="preserve">No significant homology to known food </w:t>
      </w:r>
      <w:r w:rsidR="0093543B">
        <w:rPr>
          <w:szCs w:val="22"/>
        </w:rPr>
        <w:t xml:space="preserve">allergens was identified. Some homology to a respiratory allergen from </w:t>
      </w:r>
      <w:r w:rsidR="00E54E6A" w:rsidRPr="000B78C2">
        <w:rPr>
          <w:i/>
          <w:szCs w:val="22"/>
        </w:rPr>
        <w:t>S. commune</w:t>
      </w:r>
      <w:r w:rsidR="00E54E6A">
        <w:rPr>
          <w:szCs w:val="22"/>
        </w:rPr>
        <w:t xml:space="preserve"> (</w:t>
      </w:r>
      <w:proofErr w:type="spellStart"/>
      <w:r w:rsidR="000B78C2">
        <w:rPr>
          <w:szCs w:val="22"/>
        </w:rPr>
        <w:t>splitgill</w:t>
      </w:r>
      <w:proofErr w:type="spellEnd"/>
      <w:r w:rsidR="000B78C2">
        <w:rPr>
          <w:szCs w:val="22"/>
        </w:rPr>
        <w:t xml:space="preserve"> mushroom) was identified, however respiratory allergens are not usual</w:t>
      </w:r>
      <w:r w:rsidR="00CE4E32">
        <w:rPr>
          <w:szCs w:val="22"/>
        </w:rPr>
        <w:t>ly</w:t>
      </w:r>
      <w:r w:rsidR="000B78C2">
        <w:rPr>
          <w:szCs w:val="22"/>
        </w:rPr>
        <w:t xml:space="preserve"> food allergens and </w:t>
      </w:r>
      <w:r w:rsidR="000B78C2" w:rsidRPr="000B78C2">
        <w:rPr>
          <w:i/>
          <w:szCs w:val="22"/>
        </w:rPr>
        <w:t>S. commune</w:t>
      </w:r>
      <w:r w:rsidR="000B78C2">
        <w:rPr>
          <w:szCs w:val="22"/>
        </w:rPr>
        <w:t xml:space="preserve"> is consumed as </w:t>
      </w:r>
      <w:r w:rsidR="00CE4E32">
        <w:rPr>
          <w:szCs w:val="22"/>
        </w:rPr>
        <w:t>a</w:t>
      </w:r>
      <w:r w:rsidR="000B78C2">
        <w:rPr>
          <w:szCs w:val="22"/>
        </w:rPr>
        <w:t xml:space="preserve"> food overseas without reports of food allergy. </w:t>
      </w:r>
      <w:r w:rsidR="00FF6062">
        <w:rPr>
          <w:szCs w:val="22"/>
        </w:rPr>
        <w:t xml:space="preserve">Based on the available evidence </w:t>
      </w:r>
      <w:r w:rsidR="00896D6F">
        <w:rPr>
          <w:szCs w:val="22"/>
        </w:rPr>
        <w:t xml:space="preserve">the </w:t>
      </w:r>
      <w:r w:rsidR="003A6143">
        <w:rPr>
          <w:szCs w:val="22"/>
        </w:rPr>
        <w:t>enzyme</w:t>
      </w:r>
      <w:r w:rsidR="00896D6F">
        <w:rPr>
          <w:szCs w:val="22"/>
        </w:rPr>
        <w:t xml:space="preserve"> is </w:t>
      </w:r>
      <w:r w:rsidR="003A6143">
        <w:rPr>
          <w:szCs w:val="22"/>
        </w:rPr>
        <w:t>unlikely</w:t>
      </w:r>
      <w:r w:rsidR="00896D6F">
        <w:rPr>
          <w:szCs w:val="22"/>
        </w:rPr>
        <w:t xml:space="preserve"> to </w:t>
      </w:r>
      <w:r w:rsidR="003A6143">
        <w:rPr>
          <w:szCs w:val="22"/>
        </w:rPr>
        <w:t xml:space="preserve">pose a food allergenicity concern. </w:t>
      </w:r>
    </w:p>
    <w:p w14:paraId="2B768E18" w14:textId="790878E6" w:rsidR="0063183B" w:rsidRPr="003B6D42" w:rsidRDefault="0063183B" w:rsidP="00E409D8">
      <w:pPr>
        <w:rPr>
          <w:szCs w:val="22"/>
        </w:rPr>
      </w:pPr>
      <w:r w:rsidRPr="0063183B">
        <w:rPr>
          <w:szCs w:val="22"/>
        </w:rPr>
        <w:t xml:space="preserve">Based on the reviewed data, it is concluded that in the absence of any identifiable hazard an </w:t>
      </w:r>
      <w:r w:rsidR="001633B2">
        <w:rPr>
          <w:szCs w:val="22"/>
        </w:rPr>
        <w:t>a</w:t>
      </w:r>
      <w:r w:rsidRPr="0063183B">
        <w:rPr>
          <w:szCs w:val="22"/>
        </w:rPr>
        <w:t xml:space="preserve">cceptable </w:t>
      </w:r>
      <w:r w:rsidR="001633B2">
        <w:rPr>
          <w:szCs w:val="22"/>
        </w:rPr>
        <w:t>d</w:t>
      </w:r>
      <w:r w:rsidRPr="0063183B">
        <w:rPr>
          <w:szCs w:val="22"/>
        </w:rPr>
        <w:t xml:space="preserve">aily </w:t>
      </w:r>
      <w:r w:rsidR="001633B2">
        <w:rPr>
          <w:szCs w:val="22"/>
        </w:rPr>
        <w:t>i</w:t>
      </w:r>
      <w:r w:rsidRPr="0063183B">
        <w:rPr>
          <w:szCs w:val="22"/>
        </w:rPr>
        <w:t>ntake (ADI) ‘not specified’ is appropriate.</w:t>
      </w:r>
    </w:p>
    <w:p w14:paraId="3C6E8124" w14:textId="789109B9" w:rsidR="00672E4D" w:rsidRDefault="00D705B5" w:rsidP="00FB421D">
      <w:pPr>
        <w:pStyle w:val="Heading1"/>
      </w:pPr>
      <w:bookmarkStart w:id="217" w:name="_Toc30154620"/>
      <w:bookmarkStart w:id="218" w:name="_Toc85204784"/>
      <w:bookmarkStart w:id="219" w:name="_Toc85211346"/>
      <w:bookmarkStart w:id="220" w:name="_Toc87259321"/>
      <w:bookmarkStart w:id="221" w:name="_Toc92790214"/>
      <w:bookmarkStart w:id="222" w:name="_Toc100321353"/>
      <w:bookmarkStart w:id="223" w:name="_Toc100325038"/>
      <w:bookmarkStart w:id="224" w:name="_Toc109984732"/>
      <w:r>
        <w:t>5</w:t>
      </w:r>
      <w:r w:rsidR="00672E4D" w:rsidRPr="00521FAD">
        <w:t xml:space="preserve"> </w:t>
      </w:r>
      <w:r w:rsidR="00672E4D">
        <w:tab/>
        <w:t>References</w:t>
      </w:r>
      <w:bookmarkEnd w:id="217"/>
      <w:bookmarkEnd w:id="218"/>
      <w:bookmarkEnd w:id="219"/>
      <w:bookmarkEnd w:id="220"/>
      <w:bookmarkEnd w:id="221"/>
      <w:bookmarkEnd w:id="222"/>
      <w:bookmarkEnd w:id="223"/>
      <w:bookmarkEnd w:id="224"/>
    </w:p>
    <w:p w14:paraId="686AB23B" w14:textId="7A953E55" w:rsidR="00E908CD" w:rsidRDefault="00E908CD" w:rsidP="00136983">
      <w:pPr>
        <w:spacing w:after="240"/>
      </w:pPr>
      <w:proofErr w:type="spellStart"/>
      <w:r w:rsidRPr="00E908CD">
        <w:t>Armentia</w:t>
      </w:r>
      <w:proofErr w:type="spellEnd"/>
      <w:r w:rsidRPr="00E908CD">
        <w:t xml:space="preserve"> A, Díaz-Perales A, </w:t>
      </w:r>
      <w:proofErr w:type="spellStart"/>
      <w:r w:rsidRPr="00E908CD">
        <w:t>Castrodeza</w:t>
      </w:r>
      <w:proofErr w:type="spellEnd"/>
      <w:r w:rsidRPr="00E908CD">
        <w:t xml:space="preserve"> J, </w:t>
      </w:r>
      <w:proofErr w:type="spellStart"/>
      <w:r w:rsidRPr="00E908CD">
        <w:t>Dueñas-Laita</w:t>
      </w:r>
      <w:proofErr w:type="spellEnd"/>
      <w:r w:rsidRPr="00E908CD">
        <w:t xml:space="preserve"> A, </w:t>
      </w:r>
      <w:proofErr w:type="spellStart"/>
      <w:r w:rsidRPr="00E908CD">
        <w:t>Palacin</w:t>
      </w:r>
      <w:proofErr w:type="spellEnd"/>
      <w:r w:rsidRPr="00E908CD">
        <w:t xml:space="preserve"> A, Fernández S (2009) Why can patients with baker's asthma tolerate wheat flour ingestion? Is wheat pollen allergy relevant? </w:t>
      </w:r>
      <w:proofErr w:type="spellStart"/>
      <w:r w:rsidRPr="00E908CD">
        <w:t>Allergol</w:t>
      </w:r>
      <w:r w:rsidR="006B64EC">
        <w:t>ogia</w:t>
      </w:r>
      <w:proofErr w:type="spellEnd"/>
      <w:r w:rsidR="006B64EC">
        <w:t xml:space="preserve"> et</w:t>
      </w:r>
      <w:r w:rsidRPr="00E908CD">
        <w:t xml:space="preserve"> </w:t>
      </w:r>
      <w:proofErr w:type="spellStart"/>
      <w:r w:rsidRPr="00E908CD">
        <w:t>Immunopathol</w:t>
      </w:r>
      <w:r w:rsidR="006B64EC">
        <w:t>ogia</w:t>
      </w:r>
      <w:proofErr w:type="spellEnd"/>
      <w:r w:rsidRPr="00E908CD">
        <w:t xml:space="preserve"> 37:203-204</w:t>
      </w:r>
    </w:p>
    <w:p w14:paraId="4A8549E6" w14:textId="14327194" w:rsidR="008C0DD0" w:rsidRDefault="008C0DD0" w:rsidP="00136983">
      <w:pPr>
        <w:spacing w:after="240"/>
      </w:pPr>
      <w:proofErr w:type="spellStart"/>
      <w:r>
        <w:rPr>
          <w:szCs w:val="22"/>
        </w:rPr>
        <w:t>Aunstrup</w:t>
      </w:r>
      <w:proofErr w:type="spellEnd"/>
      <w:r>
        <w:rPr>
          <w:szCs w:val="22"/>
        </w:rPr>
        <w:t xml:space="preserve"> K (1979) Production, isolation, and economics of extracellular enzymes. In: Applied Biochemistry and Bioengineering. Elsevier, pp. 27–69</w:t>
      </w:r>
    </w:p>
    <w:p w14:paraId="4E5B6085" w14:textId="6952FA9D" w:rsidR="00D9296B" w:rsidRDefault="008E19F4" w:rsidP="00136983">
      <w:pPr>
        <w:spacing w:after="240"/>
      </w:pPr>
      <w:proofErr w:type="spellStart"/>
      <w:r>
        <w:t>Bindslev</w:t>
      </w:r>
      <w:proofErr w:type="spellEnd"/>
      <w:r>
        <w:t xml:space="preserve">-Jensen C, </w:t>
      </w:r>
      <w:proofErr w:type="spellStart"/>
      <w:r>
        <w:t>Skov</w:t>
      </w:r>
      <w:proofErr w:type="spellEnd"/>
      <w:r>
        <w:t xml:space="preserve"> PS, </w:t>
      </w:r>
      <w:proofErr w:type="spellStart"/>
      <w:r>
        <w:t>Roggen</w:t>
      </w:r>
      <w:proofErr w:type="spellEnd"/>
      <w:r>
        <w:t xml:space="preserve"> EL, </w:t>
      </w:r>
      <w:proofErr w:type="spellStart"/>
      <w:r>
        <w:t>Hvass</w:t>
      </w:r>
      <w:proofErr w:type="spellEnd"/>
      <w:r>
        <w:t xml:space="preserve"> P, </w:t>
      </w:r>
      <w:proofErr w:type="spellStart"/>
      <w:r>
        <w:t>Brinch</w:t>
      </w:r>
      <w:proofErr w:type="spellEnd"/>
      <w:r>
        <w:t xml:space="preserve"> DS (2006) Investigation on possible allergenicity of 19 different commercial enzymes used in the food industry. Food and Chemical Toxicology 44: 1909-1915</w:t>
      </w:r>
    </w:p>
    <w:p w14:paraId="01993634" w14:textId="30FB992E" w:rsidR="008E19F4" w:rsidRDefault="00D9296B" w:rsidP="00136983">
      <w:pPr>
        <w:spacing w:after="240"/>
      </w:pPr>
      <w:r w:rsidRPr="00B10DC5">
        <w:t>Blanco</w:t>
      </w:r>
      <w:r w:rsidRPr="00D9296B">
        <w:t xml:space="preserve"> CA, Caballero I, Barrios R, Rojas A</w:t>
      </w:r>
      <w:r w:rsidR="00112528">
        <w:t xml:space="preserve"> (2014</w:t>
      </w:r>
      <w:r>
        <w:t>)</w:t>
      </w:r>
      <w:r w:rsidRPr="00D9296B">
        <w:t xml:space="preserve"> Innovations in the brewing industry: Light beer. Int</w:t>
      </w:r>
      <w:r w:rsidR="00BD426F">
        <w:t>ernational</w:t>
      </w:r>
      <w:r w:rsidRPr="00D9296B">
        <w:t xml:space="preserve"> J</w:t>
      </w:r>
      <w:r w:rsidR="00BD426F">
        <w:t>ournal of</w:t>
      </w:r>
      <w:r w:rsidRPr="00D9296B">
        <w:t xml:space="preserve"> Food Sci</w:t>
      </w:r>
      <w:r w:rsidR="00BD426F">
        <w:t>ence</w:t>
      </w:r>
      <w:r w:rsidR="003F63B2">
        <w:t>s</w:t>
      </w:r>
      <w:r w:rsidR="00BD426F">
        <w:t xml:space="preserve"> and</w:t>
      </w:r>
      <w:r w:rsidRPr="00D9296B">
        <w:t xml:space="preserve"> Nutr</w:t>
      </w:r>
      <w:r w:rsidR="00BD426F">
        <w:t>ition</w:t>
      </w:r>
      <w:r w:rsidR="00112528">
        <w:t xml:space="preserve"> </w:t>
      </w:r>
      <w:r w:rsidRPr="00D9296B">
        <w:t>6</w:t>
      </w:r>
      <w:r w:rsidR="00D27C6F">
        <w:t>5:655–60</w:t>
      </w:r>
    </w:p>
    <w:p w14:paraId="6E8C8F1C" w14:textId="284D3583" w:rsidR="00B936B9" w:rsidRDefault="0092371E" w:rsidP="00136983">
      <w:pPr>
        <w:spacing w:after="240"/>
      </w:pPr>
      <w:r>
        <w:t xml:space="preserve">BRENDA:EC3.1.2.3 </w:t>
      </w:r>
      <w:hyperlink r:id="rId23" w:history="1">
        <w:r w:rsidR="00BC317F" w:rsidRPr="0057466D">
          <w:rPr>
            <w:rStyle w:val="Hyperlink"/>
          </w:rPr>
          <w:t>https://www.brenda-enzymes.org/enzyme.php?ecno=3.2.1.3</w:t>
        </w:r>
      </w:hyperlink>
      <w:r w:rsidR="00BC317F">
        <w:t xml:space="preserve"> </w:t>
      </w:r>
      <w:r>
        <w:t>Accessed on 27 May 2022</w:t>
      </w:r>
    </w:p>
    <w:p w14:paraId="4DEEACB8" w14:textId="7A289603" w:rsidR="00012724" w:rsidRDefault="00CF22AE" w:rsidP="00136983">
      <w:pPr>
        <w:spacing w:after="240"/>
      </w:pPr>
      <w:r w:rsidRPr="00B10DC5">
        <w:t>Covance</w:t>
      </w:r>
      <w:r>
        <w:t xml:space="preserve"> (2013) Induction of micronuclei in cultured human peripheral blood lymphocytes. Glucoamylase, PPY34422. Covance Laboratories Ltd, England</w:t>
      </w:r>
    </w:p>
    <w:p w14:paraId="16B9D135" w14:textId="7DABAF22" w:rsidR="00860B67" w:rsidRPr="00860B67" w:rsidRDefault="008E19F4" w:rsidP="00136983">
      <w:pPr>
        <w:spacing w:after="240"/>
      </w:pPr>
      <w:r w:rsidRPr="008E19F4">
        <w:lastRenderedPageBreak/>
        <w:t xml:space="preserve">Cullinan P, Cook A, Jones M, Cannon J, Fitzgerald B, Taylor AJ (1997) Clinical responses to ingested fungal alpha-amylase and </w:t>
      </w:r>
      <w:proofErr w:type="spellStart"/>
      <w:r w:rsidRPr="008E19F4">
        <w:t>hemicellulase</w:t>
      </w:r>
      <w:proofErr w:type="spellEnd"/>
      <w:r w:rsidRPr="008E19F4">
        <w:t xml:space="preserve"> in persons sensitized to </w:t>
      </w:r>
      <w:r w:rsidRPr="00B10DC5">
        <w:rPr>
          <w:i/>
        </w:rPr>
        <w:t>Aspergillus fumigatus</w:t>
      </w:r>
      <w:r w:rsidRPr="008E19F4">
        <w:t>? Allergy 52:346-349</w:t>
      </w:r>
    </w:p>
    <w:p w14:paraId="1DB077AF" w14:textId="767B2A08" w:rsidR="009D3DFC" w:rsidRDefault="00860B67" w:rsidP="00136983">
      <w:pPr>
        <w:spacing w:after="240"/>
      </w:pPr>
      <w:r w:rsidRPr="00860B67">
        <w:t xml:space="preserve">Douglass JS, </w:t>
      </w:r>
      <w:proofErr w:type="spellStart"/>
      <w:r w:rsidRPr="00860B67">
        <w:t>Bar</w:t>
      </w:r>
      <w:r w:rsidR="00785121">
        <w:t>raj</w:t>
      </w:r>
      <w:proofErr w:type="spellEnd"/>
      <w:r w:rsidR="00785121">
        <w:t xml:space="preserve"> LM, Tennant DR, Long WR, </w:t>
      </w:r>
      <w:proofErr w:type="spellStart"/>
      <w:r w:rsidR="00A16CD2">
        <w:t>Chaisson</w:t>
      </w:r>
      <w:proofErr w:type="spellEnd"/>
      <w:r w:rsidR="00A16CD2">
        <w:t xml:space="preserve"> CF (1997) </w:t>
      </w:r>
      <w:r w:rsidRPr="00860B67">
        <w:t xml:space="preserve">Evaluation of the Budget Method for </w:t>
      </w:r>
      <w:r w:rsidR="006C55F3">
        <w:t>screening food additive intakes.</w:t>
      </w:r>
      <w:r w:rsidRPr="00860B67">
        <w:t xml:space="preserve"> Food Additives and Contaminants 14(8):791-802</w:t>
      </w:r>
    </w:p>
    <w:p w14:paraId="7B002B43" w14:textId="395C1B81" w:rsidR="005501BD" w:rsidRDefault="009D3DFC" w:rsidP="00136983">
      <w:pPr>
        <w:spacing w:after="240"/>
      </w:pPr>
      <w:r w:rsidRPr="009D3DFC">
        <w:t>EFSA Panel on Food Contact Materials, Enzymes, Processing Aids (CEP</w:t>
      </w:r>
      <w:r>
        <w:t xml:space="preserve">) (2018) </w:t>
      </w:r>
      <w:r w:rsidRPr="009D3DFC">
        <w:t xml:space="preserve">Safety of the food enzyme glucoamylase from a genetically modified </w:t>
      </w:r>
      <w:r w:rsidRPr="00B10DC5">
        <w:rPr>
          <w:i/>
        </w:rPr>
        <w:t>Aspergillus niger</w:t>
      </w:r>
      <w:r w:rsidRPr="009D3DFC">
        <w:t xml:space="preserve"> (strain NZYM</w:t>
      </w:r>
      <w:r w:rsidRPr="009D3DFC">
        <w:rPr>
          <w:rFonts w:ascii="Cambria Math" w:hAnsi="Cambria Math" w:cs="Cambria Math"/>
        </w:rPr>
        <w:t>‐</w:t>
      </w:r>
      <w:r w:rsidRPr="009D3DFC">
        <w:t>BF)</w:t>
      </w:r>
      <w:r>
        <w:t>. EFSA Journal 16 (10): e05450</w:t>
      </w:r>
    </w:p>
    <w:p w14:paraId="032344DB" w14:textId="407B6E59" w:rsidR="00A26216" w:rsidRPr="00723A5C" w:rsidRDefault="00A26216" w:rsidP="00136983">
      <w:pPr>
        <w:spacing w:after="240"/>
      </w:pPr>
      <w:proofErr w:type="spellStart"/>
      <w:r>
        <w:t>Ezugwu</w:t>
      </w:r>
      <w:proofErr w:type="spellEnd"/>
      <w:r>
        <w:t xml:space="preserve"> AL, Eze SOO and </w:t>
      </w:r>
      <w:proofErr w:type="spellStart"/>
      <w:r>
        <w:t>Chilaka</w:t>
      </w:r>
      <w:proofErr w:type="spellEnd"/>
      <w:r>
        <w:t xml:space="preserve"> FC (2015)</w:t>
      </w:r>
      <w:r w:rsidR="00B80F4A">
        <w:t xml:space="preserve"> A study of the optimal conditions of glucoamylases obtained from </w:t>
      </w:r>
      <w:r w:rsidR="00723A5C">
        <w:rPr>
          <w:i/>
          <w:iCs/>
        </w:rPr>
        <w:t xml:space="preserve">Aspergillus niger </w:t>
      </w:r>
      <w:r w:rsidR="00723A5C">
        <w:t>using amylopectin from cassava starch as carbon source</w:t>
      </w:r>
      <w:r w:rsidR="00273EB7">
        <w:t>. African Journal of Biotechnology 14(36)</w:t>
      </w:r>
      <w:r w:rsidR="00C01785">
        <w:t>:2693-2702</w:t>
      </w:r>
    </w:p>
    <w:p w14:paraId="7E4F0853" w14:textId="1C4EAC80" w:rsidR="005501BD" w:rsidRPr="005501BD" w:rsidRDefault="00DB5BD7" w:rsidP="00136983">
      <w:pPr>
        <w:spacing w:after="240"/>
      </w:pPr>
      <w:r>
        <w:t xml:space="preserve">FAO/WHO (2009) </w:t>
      </w:r>
      <w:r w:rsidR="005501BD" w:rsidRPr="005501BD">
        <w:t>Environmental Health Criteria 240. Principles and methods for the risk assessment of chem</w:t>
      </w:r>
      <w:r w:rsidR="00151FC6">
        <w:t>icals in food’ Chapter 6 -</w:t>
      </w:r>
      <w:r w:rsidR="005501BD" w:rsidRPr="005501BD">
        <w:t xml:space="preserve"> Dietary exposure assessment of</w:t>
      </w:r>
      <w:r w:rsidR="00D27C6F">
        <w:t xml:space="preserve"> chemicals in food, WHO, Geneva</w:t>
      </w:r>
    </w:p>
    <w:p w14:paraId="597997EB" w14:textId="7C4FB114" w:rsidR="005501BD" w:rsidRPr="005501BD" w:rsidRDefault="005501BD" w:rsidP="00136983">
      <w:pPr>
        <w:spacing w:after="240"/>
      </w:pPr>
      <w:r w:rsidRPr="005501BD">
        <w:rPr>
          <w:rFonts w:eastAsia="Arial" w:cs="Arial"/>
          <w:szCs w:val="22"/>
        </w:rPr>
        <w:t xml:space="preserve">FAO/WHO (2020) Environmental Health Criteria 240. Principles and Methods for the Risk Assessment </w:t>
      </w:r>
      <w:r w:rsidR="00151FC6">
        <w:rPr>
          <w:rFonts w:eastAsia="Arial" w:cs="Arial"/>
          <w:szCs w:val="22"/>
        </w:rPr>
        <w:t>of Chemicals in Food. Chapter 6 -</w:t>
      </w:r>
      <w:r w:rsidRPr="005501BD">
        <w:rPr>
          <w:rFonts w:eastAsia="Arial" w:cs="Arial"/>
          <w:szCs w:val="22"/>
        </w:rPr>
        <w:t xml:space="preserve"> Dietary exposure assessment of chemicals in food. Second Edition 2020. WHO</w:t>
      </w:r>
      <w:r>
        <w:rPr>
          <w:rFonts w:eastAsia="Arial" w:cs="Arial"/>
          <w:szCs w:val="22"/>
        </w:rPr>
        <w:t xml:space="preserve">, Geneva. </w:t>
      </w:r>
      <w:hyperlink r:id="rId24" w:history="1">
        <w:r w:rsidRPr="005501BD">
          <w:rPr>
            <w:rStyle w:val="Hyperlink"/>
            <w:color w:val="auto"/>
            <w:szCs w:val="22"/>
            <w:u w:val="none"/>
          </w:rPr>
          <w:t>https://www.who.int/docs/default-source/food-safety/publications/chapter6-dietary-exposure.pdf?sfvrsn=26d37b15_6</w:t>
        </w:r>
      </w:hyperlink>
    </w:p>
    <w:p w14:paraId="11924D34" w14:textId="38AC9CEC" w:rsidR="005501BD" w:rsidRDefault="005501BD" w:rsidP="00136983">
      <w:pPr>
        <w:spacing w:after="240"/>
      </w:pPr>
      <w:r w:rsidRPr="7756CD10">
        <w:rPr>
          <w:rFonts w:eastAsia="Arial" w:cs="Arial"/>
        </w:rPr>
        <w:t>FAO/WHO (2021) Evaluation of certain food additives: eighty-ninth report of the Joint FAO/WHO Expert Committee on Food Additives. WHO Technical Report Series, No. 1027. WHO, Geneva and FAO, Rome.</w:t>
      </w:r>
      <w:r w:rsidR="00BC0436" w:rsidRPr="7756CD10">
        <w:rPr>
          <w:rFonts w:eastAsia="Arial" w:cs="Arial"/>
        </w:rPr>
        <w:t xml:space="preserve"> </w:t>
      </w:r>
      <w:r w:rsidRPr="7756CD10">
        <w:rPr>
          <w:rFonts w:cs="Arial"/>
        </w:rPr>
        <w:t>FCC (2008). Enzyme preparations. In: Food Chemicals Codex, 6th edition. Rockville (MD): United States Pharmacopeial Convention, pp. 413–417</w:t>
      </w:r>
    </w:p>
    <w:p w14:paraId="57785B6F" w14:textId="6B47183C" w:rsidR="7756CD10" w:rsidRPr="005E0102" w:rsidRDefault="7756CD10">
      <w:pPr>
        <w:spacing w:after="240"/>
        <w:rPr>
          <w:rFonts w:eastAsia="Arial"/>
        </w:rPr>
      </w:pPr>
      <w:r w:rsidRPr="005E0102">
        <w:rPr>
          <w:rFonts w:eastAsia="Arial"/>
        </w:rPr>
        <w:t xml:space="preserve">Godfrey T (1983) Brewing. </w:t>
      </w:r>
      <w:r w:rsidR="00310B4D">
        <w:rPr>
          <w:rFonts w:eastAsia="Arial"/>
        </w:rPr>
        <w:t xml:space="preserve">In: Godfrey T, </w:t>
      </w:r>
      <w:proofErr w:type="spellStart"/>
      <w:r w:rsidR="00310B4D">
        <w:rPr>
          <w:rFonts w:eastAsia="Arial"/>
        </w:rPr>
        <w:t>Reichelt</w:t>
      </w:r>
      <w:proofErr w:type="spellEnd"/>
      <w:r w:rsidR="00310B4D">
        <w:rPr>
          <w:rFonts w:eastAsia="Arial"/>
        </w:rPr>
        <w:t xml:space="preserve"> J (eds) </w:t>
      </w:r>
      <w:r w:rsidRPr="005E0102">
        <w:rPr>
          <w:rFonts w:eastAsia="Arial"/>
        </w:rPr>
        <w:t>Industrial Enzymology</w:t>
      </w:r>
      <w:r w:rsidR="00310B4D">
        <w:rPr>
          <w:rFonts w:eastAsia="Arial"/>
        </w:rPr>
        <w:t>:</w:t>
      </w:r>
      <w:r w:rsidR="7A48DF6B" w:rsidRPr="00310B4D">
        <w:rPr>
          <w:rFonts w:eastAsia="Arial"/>
        </w:rPr>
        <w:t xml:space="preserve"> </w:t>
      </w:r>
      <w:r w:rsidR="00310B4D">
        <w:rPr>
          <w:rFonts w:eastAsia="Arial"/>
        </w:rPr>
        <w:t>t</w:t>
      </w:r>
      <w:r w:rsidR="7A48DF6B" w:rsidRPr="00310B4D">
        <w:rPr>
          <w:rFonts w:eastAsia="Arial"/>
        </w:rPr>
        <w:t>he</w:t>
      </w:r>
      <w:r w:rsidRPr="005E0102">
        <w:rPr>
          <w:rFonts w:eastAsia="Arial"/>
        </w:rPr>
        <w:t xml:space="preserve"> application of enzymes in industry</w:t>
      </w:r>
      <w:r w:rsidR="00310B4D">
        <w:rPr>
          <w:rFonts w:eastAsia="Arial"/>
        </w:rPr>
        <w:t>.</w:t>
      </w:r>
      <w:r w:rsidRPr="005E0102">
        <w:rPr>
          <w:rFonts w:eastAsia="Arial"/>
        </w:rPr>
        <w:t xml:space="preserve"> The Nature Press, New York, </w:t>
      </w:r>
      <w:r w:rsidR="00310B4D">
        <w:rPr>
          <w:rFonts w:eastAsia="Arial"/>
        </w:rPr>
        <w:t>p</w:t>
      </w:r>
      <w:r w:rsidR="001B7F67">
        <w:rPr>
          <w:rFonts w:eastAsia="Arial"/>
        </w:rPr>
        <w:t>.</w:t>
      </w:r>
      <w:r w:rsidR="00310B4D">
        <w:rPr>
          <w:rFonts w:eastAsia="Arial"/>
        </w:rPr>
        <w:t xml:space="preserve"> </w:t>
      </w:r>
      <w:r w:rsidRPr="005E0102">
        <w:rPr>
          <w:rFonts w:eastAsia="Arial"/>
        </w:rPr>
        <w:t>221-259</w:t>
      </w:r>
    </w:p>
    <w:p w14:paraId="2429B3BF" w14:textId="27DA6387" w:rsidR="00CF22AE" w:rsidRDefault="00FE3D2B" w:rsidP="00136983">
      <w:pPr>
        <w:pStyle w:val="paragraph"/>
        <w:spacing w:before="0" w:beforeAutospacing="0" w:after="240" w:afterAutospacing="0"/>
        <w:textAlignment w:val="baseline"/>
      </w:pPr>
      <w:r>
        <w:rPr>
          <w:rStyle w:val="normaltextrun"/>
          <w:rFonts w:ascii="Arial" w:eastAsiaTheme="majorEastAsia" w:hAnsi="Arial" w:cs="Arial"/>
          <w:color w:val="000000"/>
          <w:sz w:val="22"/>
          <w:szCs w:val="22"/>
        </w:rPr>
        <w:t>Hansen SC (1966) Acceptable Daily Intake of Food Additives and Ceiling on Levels of Use</w:t>
      </w:r>
      <w:r w:rsidR="00CE6256">
        <w:rPr>
          <w:rStyle w:val="normaltextrun"/>
          <w:rFonts w:ascii="Arial" w:eastAsiaTheme="majorEastAsia" w:hAnsi="Arial" w:cs="Arial"/>
          <w:color w:val="000000"/>
          <w:sz w:val="22"/>
          <w:szCs w:val="22"/>
        </w:rPr>
        <w:t>. Food and Cosmetics Toxicology.</w:t>
      </w:r>
      <w:r>
        <w:rPr>
          <w:rStyle w:val="normaltextrun"/>
          <w:rFonts w:ascii="Arial" w:eastAsiaTheme="majorEastAsia" w:hAnsi="Arial" w:cs="Arial"/>
          <w:color w:val="000000"/>
          <w:sz w:val="22"/>
          <w:szCs w:val="22"/>
        </w:rPr>
        <w:t xml:space="preserve"> 4: 427-432</w:t>
      </w:r>
      <w:r>
        <w:rPr>
          <w:rStyle w:val="eop"/>
          <w:rFonts w:ascii="Arial" w:hAnsi="Arial" w:cs="Arial"/>
          <w:color w:val="000000"/>
          <w:sz w:val="22"/>
          <w:szCs w:val="22"/>
        </w:rPr>
        <w:t> </w:t>
      </w:r>
    </w:p>
    <w:p w14:paraId="018D419A" w14:textId="31E523EF" w:rsidR="00742013" w:rsidRDefault="00742013" w:rsidP="00136983">
      <w:pPr>
        <w:spacing w:after="240"/>
      </w:pPr>
      <w:proofErr w:type="spellStart"/>
      <w:r>
        <w:rPr>
          <w:rStyle w:val="normaltextrun"/>
          <w:rFonts w:cs="Arial"/>
          <w:color w:val="000000"/>
          <w:szCs w:val="22"/>
          <w:shd w:val="clear" w:color="auto" w:fill="FFFFFF"/>
        </w:rPr>
        <w:t>Houbraken</w:t>
      </w:r>
      <w:proofErr w:type="spellEnd"/>
      <w:r>
        <w:rPr>
          <w:rStyle w:val="normaltextrun"/>
          <w:rFonts w:cs="Arial"/>
          <w:color w:val="000000"/>
          <w:szCs w:val="22"/>
          <w:shd w:val="clear" w:color="auto" w:fill="FFFFFF"/>
        </w:rPr>
        <w:t xml:space="preserve"> J, </w:t>
      </w:r>
      <w:proofErr w:type="spellStart"/>
      <w:r>
        <w:rPr>
          <w:rStyle w:val="normaltextrun"/>
          <w:rFonts w:cs="Arial"/>
          <w:color w:val="000000"/>
          <w:szCs w:val="22"/>
          <w:shd w:val="clear" w:color="auto" w:fill="FFFFFF"/>
        </w:rPr>
        <w:t>Kocsub</w:t>
      </w:r>
      <w:r>
        <w:rPr>
          <w:rStyle w:val="normaltextrun"/>
          <w:rFonts w:ascii="Segoe UI" w:hAnsi="Segoe UI" w:cs="Segoe UI"/>
          <w:color w:val="000000"/>
          <w:szCs w:val="22"/>
          <w:shd w:val="clear" w:color="auto" w:fill="FFFFFF"/>
        </w:rPr>
        <w:t>é</w:t>
      </w:r>
      <w:proofErr w:type="spellEnd"/>
      <w:r>
        <w:rPr>
          <w:rStyle w:val="normaltextrun"/>
          <w:rFonts w:cs="Arial"/>
          <w:color w:val="000000"/>
          <w:szCs w:val="22"/>
          <w:shd w:val="clear" w:color="auto" w:fill="FFFFFF"/>
        </w:rPr>
        <w:t xml:space="preserve"> S, Visagie CM, Yilmaz N, Wang X-C, Meijer M, </w:t>
      </w:r>
      <w:proofErr w:type="spellStart"/>
      <w:r>
        <w:rPr>
          <w:rStyle w:val="normaltextrun"/>
          <w:rFonts w:cs="Arial"/>
          <w:color w:val="000000"/>
          <w:szCs w:val="22"/>
          <w:shd w:val="clear" w:color="auto" w:fill="FFFFFF"/>
        </w:rPr>
        <w:t>Kraak</w:t>
      </w:r>
      <w:proofErr w:type="spellEnd"/>
      <w:r>
        <w:rPr>
          <w:rStyle w:val="normaltextrun"/>
          <w:rFonts w:cs="Arial"/>
          <w:color w:val="000000"/>
          <w:szCs w:val="22"/>
          <w:shd w:val="clear" w:color="auto" w:fill="FFFFFF"/>
        </w:rPr>
        <w:t xml:space="preserve"> B, </w:t>
      </w:r>
      <w:proofErr w:type="spellStart"/>
      <w:r w:rsidR="008F3734">
        <w:rPr>
          <w:rStyle w:val="normaltextrun"/>
          <w:rFonts w:cs="Arial"/>
          <w:color w:val="000000"/>
          <w:szCs w:val="22"/>
          <w:shd w:val="clear" w:color="auto" w:fill="FFFFFF"/>
        </w:rPr>
        <w:t>Hubka</w:t>
      </w:r>
      <w:proofErr w:type="spellEnd"/>
      <w:r w:rsidR="008F3734">
        <w:rPr>
          <w:rStyle w:val="normaltextrun"/>
          <w:rFonts w:cs="Arial"/>
          <w:color w:val="000000"/>
          <w:szCs w:val="22"/>
          <w:shd w:val="clear" w:color="auto" w:fill="FFFFFF"/>
        </w:rPr>
        <w:t xml:space="preserve"> V, </w:t>
      </w:r>
      <w:proofErr w:type="spellStart"/>
      <w:r w:rsidR="008F3734">
        <w:rPr>
          <w:rStyle w:val="normaltextrun"/>
          <w:rFonts w:cs="Arial"/>
          <w:color w:val="000000"/>
          <w:szCs w:val="22"/>
          <w:shd w:val="clear" w:color="auto" w:fill="FFFFFF"/>
        </w:rPr>
        <w:t>Bensch</w:t>
      </w:r>
      <w:proofErr w:type="spellEnd"/>
      <w:r w:rsidR="008F3734">
        <w:rPr>
          <w:rStyle w:val="normaltextrun"/>
          <w:rFonts w:cs="Arial"/>
          <w:color w:val="000000"/>
          <w:szCs w:val="22"/>
          <w:shd w:val="clear" w:color="auto" w:fill="FFFFFF"/>
        </w:rPr>
        <w:t xml:space="preserve"> K, Samson RA,</w:t>
      </w:r>
      <w:r>
        <w:rPr>
          <w:rStyle w:val="normaltextrun"/>
          <w:rFonts w:cs="Arial"/>
          <w:color w:val="000000"/>
          <w:szCs w:val="22"/>
          <w:shd w:val="clear" w:color="auto" w:fill="FFFFFF"/>
        </w:rPr>
        <w:t xml:space="preserve"> </w:t>
      </w:r>
      <w:proofErr w:type="spellStart"/>
      <w:r>
        <w:rPr>
          <w:rStyle w:val="normaltextrun"/>
          <w:rFonts w:cs="Arial"/>
          <w:color w:val="000000"/>
          <w:szCs w:val="22"/>
          <w:shd w:val="clear" w:color="auto" w:fill="FFFFFF"/>
        </w:rPr>
        <w:t>Frisvad</w:t>
      </w:r>
      <w:proofErr w:type="spellEnd"/>
      <w:r>
        <w:rPr>
          <w:rStyle w:val="normaltextrun"/>
          <w:rFonts w:cs="Arial"/>
          <w:color w:val="000000"/>
          <w:szCs w:val="22"/>
          <w:shd w:val="clear" w:color="auto" w:fill="FFFFFF"/>
        </w:rPr>
        <w:t xml:space="preserve"> JC (2020) Classification of </w:t>
      </w:r>
      <w:r>
        <w:rPr>
          <w:rStyle w:val="normaltextrun"/>
          <w:rFonts w:cs="Arial"/>
          <w:i/>
          <w:iCs/>
          <w:color w:val="000000"/>
          <w:szCs w:val="22"/>
          <w:shd w:val="clear" w:color="auto" w:fill="FFFFFF"/>
        </w:rPr>
        <w:t>Aspergillus</w:t>
      </w:r>
      <w:r>
        <w:rPr>
          <w:rStyle w:val="normaltextrun"/>
          <w:rFonts w:cs="Arial"/>
          <w:color w:val="000000"/>
          <w:szCs w:val="22"/>
          <w:shd w:val="clear" w:color="auto" w:fill="FFFFFF"/>
        </w:rPr>
        <w:t xml:space="preserve">, </w:t>
      </w:r>
      <w:r>
        <w:rPr>
          <w:rStyle w:val="normaltextrun"/>
          <w:rFonts w:cs="Arial"/>
          <w:i/>
          <w:iCs/>
          <w:color w:val="000000"/>
          <w:szCs w:val="22"/>
          <w:shd w:val="clear" w:color="auto" w:fill="FFFFFF"/>
        </w:rPr>
        <w:t>Penicillium</w:t>
      </w:r>
      <w:r>
        <w:rPr>
          <w:rStyle w:val="normaltextrun"/>
          <w:rFonts w:cs="Arial"/>
          <w:color w:val="000000"/>
          <w:szCs w:val="22"/>
          <w:shd w:val="clear" w:color="auto" w:fill="FFFFFF"/>
        </w:rPr>
        <w:t xml:space="preserve">, </w:t>
      </w:r>
      <w:proofErr w:type="spellStart"/>
      <w:r>
        <w:rPr>
          <w:rStyle w:val="normaltextrun"/>
          <w:rFonts w:cs="Arial"/>
          <w:i/>
          <w:iCs/>
          <w:color w:val="000000"/>
          <w:szCs w:val="22"/>
          <w:shd w:val="clear" w:color="auto" w:fill="FFFFFF"/>
        </w:rPr>
        <w:t>Talaromyces</w:t>
      </w:r>
      <w:proofErr w:type="spellEnd"/>
      <w:r>
        <w:rPr>
          <w:rStyle w:val="normaltextrun"/>
          <w:rFonts w:cs="Arial"/>
          <w:color w:val="000000"/>
          <w:szCs w:val="22"/>
          <w:shd w:val="clear" w:color="auto" w:fill="FFFFFF"/>
        </w:rPr>
        <w:t xml:space="preserve"> and related genera (</w:t>
      </w:r>
      <w:proofErr w:type="spellStart"/>
      <w:r>
        <w:rPr>
          <w:rStyle w:val="normaltextrun"/>
          <w:rFonts w:cs="Arial"/>
          <w:i/>
          <w:iCs/>
          <w:color w:val="000000"/>
          <w:szCs w:val="22"/>
          <w:shd w:val="clear" w:color="auto" w:fill="FFFFFF"/>
        </w:rPr>
        <w:t>Eurotiales</w:t>
      </w:r>
      <w:proofErr w:type="spellEnd"/>
      <w:r>
        <w:rPr>
          <w:rStyle w:val="normaltextrun"/>
          <w:rFonts w:cs="Arial"/>
          <w:color w:val="000000"/>
          <w:szCs w:val="22"/>
          <w:shd w:val="clear" w:color="auto" w:fill="FFFFFF"/>
        </w:rPr>
        <w:t>): An overview of families, genera, subgenera, sections, series and species. Studies in Mycology 95:5–169</w:t>
      </w:r>
    </w:p>
    <w:p w14:paraId="10EF3270" w14:textId="58896EDD" w:rsidR="00445721" w:rsidRDefault="00B936B9" w:rsidP="00136983">
      <w:pPr>
        <w:spacing w:after="240"/>
      </w:pPr>
      <w:r>
        <w:t xml:space="preserve">Huntingdon Life Sciences (2013) Glucoamylase, batch PPY34422: Toxicity study by oral gavage administration to Sprague-Dawley rats for 13 weeks. Huntingdon Life Sciences, </w:t>
      </w:r>
      <w:r w:rsidR="00960CB8">
        <w:t>UK</w:t>
      </w:r>
    </w:p>
    <w:p w14:paraId="2B6EECED" w14:textId="6FE7074B" w:rsidR="007579BA" w:rsidRDefault="007579BA" w:rsidP="00136983">
      <w:pPr>
        <w:spacing w:after="240"/>
      </w:pPr>
      <w:r>
        <w:rPr>
          <w:rStyle w:val="normaltextrun"/>
          <w:rFonts w:cs="Arial"/>
          <w:color w:val="000000"/>
          <w:szCs w:val="22"/>
          <w:shd w:val="clear" w:color="auto" w:fill="FFFFFF"/>
        </w:rPr>
        <w:t xml:space="preserve">IUBMB (2018). EC 3.2.1.3 </w:t>
      </w:r>
      <w:hyperlink r:id="rId25" w:tgtFrame="_blank" w:history="1">
        <w:r>
          <w:rPr>
            <w:rStyle w:val="normaltextrun"/>
            <w:rFonts w:cs="Arial"/>
            <w:color w:val="3333FF"/>
            <w:szCs w:val="22"/>
            <w:u w:val="single"/>
            <w:shd w:val="clear" w:color="auto" w:fill="FFFFFF"/>
          </w:rPr>
          <w:t>https://iubmb.qmul.ac.uk/enzyme/EC3/2/1/3.html</w:t>
        </w:r>
      </w:hyperlink>
      <w:r>
        <w:rPr>
          <w:rStyle w:val="normaltextrun"/>
          <w:rFonts w:cs="Arial"/>
          <w:color w:val="000000"/>
          <w:szCs w:val="22"/>
          <w:shd w:val="clear" w:color="auto" w:fill="FFFFFF"/>
        </w:rPr>
        <w:t xml:space="preserve"> Accessed 27 May 2022</w:t>
      </w:r>
      <w:r>
        <w:rPr>
          <w:rStyle w:val="eop"/>
          <w:rFonts w:cs="Arial"/>
          <w:color w:val="000000"/>
          <w:szCs w:val="22"/>
          <w:shd w:val="clear" w:color="auto" w:fill="FFFFFF"/>
        </w:rPr>
        <w:t> </w:t>
      </w:r>
    </w:p>
    <w:p w14:paraId="7E273102" w14:textId="097D5DEB" w:rsidR="00201934" w:rsidRDefault="00201934" w:rsidP="00201934">
      <w:pPr>
        <w:spacing w:after="240"/>
        <w:rPr>
          <w:rStyle w:val="findhit"/>
          <w:rFonts w:cs="Arial"/>
          <w:color w:val="000000"/>
          <w:szCs w:val="22"/>
          <w:shd w:val="clear" w:color="auto" w:fill="FFFFFF"/>
        </w:rPr>
      </w:pPr>
      <w:proofErr w:type="spellStart"/>
      <w:r w:rsidRPr="00201934">
        <w:rPr>
          <w:rStyle w:val="findhit"/>
          <w:rFonts w:cs="Arial"/>
          <w:color w:val="000000"/>
          <w:szCs w:val="22"/>
          <w:shd w:val="clear" w:color="auto" w:fill="FFFFFF"/>
        </w:rPr>
        <w:t>Janda</w:t>
      </w:r>
      <w:proofErr w:type="spellEnd"/>
      <w:r w:rsidRPr="00201934">
        <w:rPr>
          <w:rStyle w:val="findhit"/>
          <w:rFonts w:cs="Arial"/>
          <w:color w:val="000000"/>
          <w:szCs w:val="22"/>
          <w:shd w:val="clear" w:color="auto" w:fill="FFFFFF"/>
        </w:rPr>
        <w:t xml:space="preserve"> W (1983) Fruit Juice. </w:t>
      </w:r>
      <w:r w:rsidR="00310B4D">
        <w:rPr>
          <w:rFonts w:eastAsia="Arial"/>
        </w:rPr>
        <w:t xml:space="preserve">In: Godfrey T, </w:t>
      </w:r>
      <w:proofErr w:type="spellStart"/>
      <w:r w:rsidR="00310B4D">
        <w:rPr>
          <w:rFonts w:eastAsia="Arial"/>
        </w:rPr>
        <w:t>Reichelt</w:t>
      </w:r>
      <w:proofErr w:type="spellEnd"/>
      <w:r w:rsidR="00310B4D">
        <w:rPr>
          <w:rFonts w:eastAsia="Arial"/>
        </w:rPr>
        <w:t xml:space="preserve"> J (eds) </w:t>
      </w:r>
      <w:r w:rsidRPr="00310B4D">
        <w:rPr>
          <w:rFonts w:eastAsia="Arial"/>
        </w:rPr>
        <w:t>Industrial Enzymology</w:t>
      </w:r>
      <w:r w:rsidR="00310B4D">
        <w:rPr>
          <w:rFonts w:eastAsia="Arial"/>
        </w:rPr>
        <w:t>:</w:t>
      </w:r>
      <w:r w:rsidR="00310B4D" w:rsidRPr="00310B4D">
        <w:rPr>
          <w:rFonts w:eastAsia="Arial"/>
        </w:rPr>
        <w:t xml:space="preserve"> </w:t>
      </w:r>
      <w:r w:rsidR="00310B4D">
        <w:rPr>
          <w:rFonts w:eastAsia="Arial"/>
        </w:rPr>
        <w:t>t</w:t>
      </w:r>
      <w:r w:rsidR="00310B4D" w:rsidRPr="00310B4D">
        <w:rPr>
          <w:rFonts w:eastAsia="Arial"/>
        </w:rPr>
        <w:t>he</w:t>
      </w:r>
      <w:r w:rsidRPr="00310B4D">
        <w:rPr>
          <w:rFonts w:eastAsia="Arial"/>
        </w:rPr>
        <w:t xml:space="preserve"> application of enzymes in industry</w:t>
      </w:r>
      <w:r w:rsidR="00310B4D">
        <w:rPr>
          <w:rFonts w:eastAsia="Arial"/>
        </w:rPr>
        <w:t xml:space="preserve">. </w:t>
      </w:r>
      <w:r w:rsidRPr="00201934">
        <w:rPr>
          <w:rStyle w:val="findhit"/>
          <w:rFonts w:cs="Arial"/>
          <w:color w:val="000000"/>
          <w:szCs w:val="22"/>
          <w:shd w:val="clear" w:color="auto" w:fill="FFFFFF"/>
        </w:rPr>
        <w:t xml:space="preserve"> The Nature Press, New York, </w:t>
      </w:r>
      <w:r w:rsidR="001B7F67">
        <w:rPr>
          <w:rStyle w:val="findhit"/>
          <w:rFonts w:cs="Arial"/>
          <w:color w:val="000000"/>
          <w:szCs w:val="22"/>
          <w:shd w:val="clear" w:color="auto" w:fill="FFFFFF"/>
        </w:rPr>
        <w:t xml:space="preserve">p. </w:t>
      </w:r>
      <w:r w:rsidRPr="00201934">
        <w:rPr>
          <w:rStyle w:val="findhit"/>
          <w:rFonts w:cs="Arial"/>
          <w:color w:val="000000"/>
          <w:szCs w:val="22"/>
          <w:shd w:val="clear" w:color="auto" w:fill="FFFFFF"/>
        </w:rPr>
        <w:t>315-320</w:t>
      </w:r>
    </w:p>
    <w:p w14:paraId="39F153FB" w14:textId="59CBD24F" w:rsidR="00145622" w:rsidRDefault="00145622" w:rsidP="00136983">
      <w:pPr>
        <w:spacing w:after="240"/>
      </w:pPr>
      <w:r>
        <w:rPr>
          <w:rStyle w:val="findhit"/>
          <w:rFonts w:cs="Arial"/>
          <w:color w:val="000000"/>
          <w:szCs w:val="22"/>
          <w:shd w:val="clear" w:color="auto" w:fill="FFFFFF"/>
        </w:rPr>
        <w:t>JECFA</w:t>
      </w:r>
      <w:r>
        <w:rPr>
          <w:rStyle w:val="normaltextrun"/>
          <w:rFonts w:cs="Arial"/>
          <w:color w:val="000000"/>
          <w:shd w:val="clear" w:color="auto" w:fill="FFFFFF"/>
        </w:rPr>
        <w:t xml:space="preserve"> (2017) Combined compendium of food additive specifications (FAO </w:t>
      </w:r>
      <w:r>
        <w:rPr>
          <w:rStyle w:val="findhit"/>
          <w:rFonts w:cs="Arial"/>
          <w:color w:val="000000"/>
          <w:szCs w:val="22"/>
          <w:shd w:val="clear" w:color="auto" w:fill="FFFFFF"/>
        </w:rPr>
        <w:t>JECFA</w:t>
      </w:r>
      <w:r>
        <w:rPr>
          <w:rStyle w:val="normaltextrun"/>
          <w:rFonts w:cs="Arial"/>
          <w:color w:val="000000"/>
          <w:shd w:val="clear" w:color="auto" w:fill="FFFFFF"/>
        </w:rPr>
        <w:t xml:space="preserve"> Monograph 1) </w:t>
      </w:r>
      <w:hyperlink r:id="rId26" w:tgtFrame="_blank" w:history="1">
        <w:r>
          <w:rPr>
            <w:rStyle w:val="normaltextrun"/>
            <w:rFonts w:cs="Arial"/>
            <w:color w:val="3333FF"/>
            <w:u w:val="single"/>
            <w:shd w:val="clear" w:color="auto" w:fill="FFFFFF"/>
          </w:rPr>
          <w:t>http://www.fao.org/docrep/009/a0691e/A0691E03.htm</w:t>
        </w:r>
      </w:hyperlink>
      <w:r>
        <w:rPr>
          <w:rStyle w:val="eop"/>
          <w:rFonts w:cs="Arial"/>
          <w:color w:val="000000"/>
          <w:szCs w:val="22"/>
          <w:shd w:val="clear" w:color="auto" w:fill="FFFFFF"/>
        </w:rPr>
        <w:t> </w:t>
      </w:r>
    </w:p>
    <w:p w14:paraId="6F2D6D75" w14:textId="2D9FFD4D" w:rsidR="00445721" w:rsidRDefault="00445721" w:rsidP="00136983">
      <w:pPr>
        <w:spacing w:after="240"/>
      </w:pPr>
      <w:r>
        <w:lastRenderedPageBreak/>
        <w:t>Kumar P and Satyanarayana T (2009) Microbial glucoamylases: characteristics and applications. Critical Reviews in Biotechnology. 29(3):225-255</w:t>
      </w:r>
    </w:p>
    <w:p w14:paraId="2BDA2EEF" w14:textId="55379517" w:rsidR="00960CB8" w:rsidRDefault="00445721" w:rsidP="00136983">
      <w:pPr>
        <w:spacing w:after="240"/>
      </w:pPr>
      <w:r>
        <w:t>Modderman JP (1993) Safety assessment of hydrogenated starch hydrolysates. Regulatory Toxicology and Pharmacology. 18(1):80-114</w:t>
      </w:r>
    </w:p>
    <w:p w14:paraId="70A8B00E" w14:textId="262B3ACA" w:rsidR="00287AF2" w:rsidRDefault="00FF3FC4" w:rsidP="00136983">
      <w:pPr>
        <w:spacing w:after="240"/>
      </w:pPr>
      <w:r>
        <w:t xml:space="preserve">Novozymes (2013) Glucoamylase PPY34422: Test for mutagenic activity with strains of </w:t>
      </w:r>
      <w:r w:rsidRPr="003A7C54">
        <w:rPr>
          <w:i/>
        </w:rPr>
        <w:t>Salmonella typhimurium</w:t>
      </w:r>
      <w:r>
        <w:t xml:space="preserve"> and </w:t>
      </w:r>
      <w:r w:rsidR="00BC0436" w:rsidRPr="003A7C54">
        <w:rPr>
          <w:i/>
        </w:rPr>
        <w:t>Escherichia</w:t>
      </w:r>
      <w:r w:rsidRPr="003A7C54">
        <w:rPr>
          <w:i/>
        </w:rPr>
        <w:t xml:space="preserve"> coli</w:t>
      </w:r>
      <w:r>
        <w:t>. Novozymes A/S, Denmark</w:t>
      </w:r>
    </w:p>
    <w:p w14:paraId="71BE2690" w14:textId="3CB34DBF" w:rsidR="003F3355" w:rsidRDefault="00287AF2" w:rsidP="00136983">
      <w:pPr>
        <w:spacing w:after="240"/>
        <w:rPr>
          <w:rFonts w:eastAsia="Arial" w:cs="Arial"/>
          <w:color w:val="212121"/>
          <w:sz w:val="20"/>
          <w:szCs w:val="22"/>
        </w:rPr>
      </w:pPr>
      <w:r w:rsidRPr="00287AF2">
        <w:t xml:space="preserve">Poulsen LK (2004) Allergy </w:t>
      </w:r>
      <w:r>
        <w:t>a</w:t>
      </w:r>
      <w:r w:rsidRPr="00287AF2">
        <w:t>ssessment of foods or ingredients derived from biotechnology, gene modified organisms, or novel food</w:t>
      </w:r>
      <w:r>
        <w:t>s. Mol</w:t>
      </w:r>
      <w:r w:rsidR="00B25A49">
        <w:t>ecular</w:t>
      </w:r>
      <w:r>
        <w:t xml:space="preserve"> Nutr</w:t>
      </w:r>
      <w:r w:rsidR="00B25A49">
        <w:t>ition and</w:t>
      </w:r>
      <w:r>
        <w:t xml:space="preserve"> Food Res</w:t>
      </w:r>
      <w:r w:rsidR="00B25A49">
        <w:t>earch</w:t>
      </w:r>
      <w:r>
        <w:t xml:space="preserve"> 48:413-423</w:t>
      </w:r>
    </w:p>
    <w:p w14:paraId="0301BFEE" w14:textId="14B3FCC5" w:rsidR="009C3D14" w:rsidRDefault="009C3D14" w:rsidP="009C3D14">
      <w:pPr>
        <w:rPr>
          <w:rFonts w:eastAsia="Arial" w:cs="Arial"/>
          <w:color w:val="212121"/>
          <w:szCs w:val="22"/>
        </w:rPr>
      </w:pPr>
      <w:r w:rsidRPr="009C3D14">
        <w:rPr>
          <w:rFonts w:eastAsia="Arial" w:cs="Arial"/>
          <w:color w:val="212121"/>
          <w:szCs w:val="22"/>
        </w:rPr>
        <w:t xml:space="preserve">Poulson PB (1983) Alcohol </w:t>
      </w:r>
      <w:r w:rsidR="001B7F67">
        <w:rPr>
          <w:rFonts w:eastAsia="Arial" w:cs="Arial"/>
          <w:color w:val="212121"/>
          <w:szCs w:val="22"/>
        </w:rPr>
        <w:t>–</w:t>
      </w:r>
      <w:r w:rsidRPr="009C3D14">
        <w:rPr>
          <w:rFonts w:eastAsia="Arial" w:cs="Arial"/>
          <w:color w:val="212121"/>
          <w:szCs w:val="22"/>
        </w:rPr>
        <w:t xml:space="preserve"> Potable. </w:t>
      </w:r>
      <w:r w:rsidR="001B7F67">
        <w:rPr>
          <w:rFonts w:eastAsia="Arial"/>
        </w:rPr>
        <w:t xml:space="preserve">In: Godfrey T, </w:t>
      </w:r>
      <w:proofErr w:type="spellStart"/>
      <w:r w:rsidR="001B7F67">
        <w:rPr>
          <w:rFonts w:eastAsia="Arial"/>
        </w:rPr>
        <w:t>Reichelt</w:t>
      </w:r>
      <w:proofErr w:type="spellEnd"/>
      <w:r w:rsidR="001B7F67">
        <w:rPr>
          <w:rFonts w:eastAsia="Arial"/>
        </w:rPr>
        <w:t xml:space="preserve"> J (eds) </w:t>
      </w:r>
      <w:r w:rsidRPr="00310B4D">
        <w:rPr>
          <w:rFonts w:eastAsia="Arial"/>
        </w:rPr>
        <w:t>Industrial Enzymology</w:t>
      </w:r>
      <w:r w:rsidR="001B7F67">
        <w:rPr>
          <w:rFonts w:eastAsia="Arial"/>
        </w:rPr>
        <w:t>:</w:t>
      </w:r>
      <w:r w:rsidR="001B7F67" w:rsidRPr="00310B4D">
        <w:rPr>
          <w:rFonts w:eastAsia="Arial"/>
        </w:rPr>
        <w:t xml:space="preserve"> </w:t>
      </w:r>
      <w:r w:rsidR="001B7F67">
        <w:rPr>
          <w:rFonts w:eastAsia="Arial"/>
        </w:rPr>
        <w:t>t</w:t>
      </w:r>
      <w:r w:rsidR="001B7F67" w:rsidRPr="00310B4D">
        <w:rPr>
          <w:rFonts w:eastAsia="Arial"/>
        </w:rPr>
        <w:t>he</w:t>
      </w:r>
      <w:r w:rsidRPr="00310B4D">
        <w:rPr>
          <w:rFonts w:eastAsia="Arial"/>
        </w:rPr>
        <w:t xml:space="preserve"> application of enzymes in</w:t>
      </w:r>
      <w:r w:rsidR="001B7F67" w:rsidRPr="00310B4D">
        <w:rPr>
          <w:rFonts w:eastAsia="Arial"/>
        </w:rPr>
        <w:t xml:space="preserve"> </w:t>
      </w:r>
      <w:r w:rsidRPr="00310B4D">
        <w:rPr>
          <w:rFonts w:eastAsia="Arial"/>
        </w:rPr>
        <w:t>industry</w:t>
      </w:r>
      <w:r w:rsidR="001B7F67">
        <w:rPr>
          <w:rFonts w:eastAsia="Arial"/>
        </w:rPr>
        <w:t>.</w:t>
      </w:r>
      <w:r w:rsidRPr="009C3D14">
        <w:rPr>
          <w:rFonts w:eastAsia="Arial" w:cs="Arial"/>
          <w:color w:val="212121"/>
          <w:szCs w:val="22"/>
        </w:rPr>
        <w:t xml:space="preserve"> The Nature Press, New York, </w:t>
      </w:r>
      <w:r w:rsidR="001B7F67">
        <w:rPr>
          <w:rFonts w:eastAsia="Arial" w:cs="Arial"/>
          <w:color w:val="212121"/>
          <w:szCs w:val="22"/>
        </w:rPr>
        <w:t xml:space="preserve">p. </w:t>
      </w:r>
      <w:r w:rsidRPr="009C3D14">
        <w:rPr>
          <w:rFonts w:eastAsia="Arial" w:cs="Arial"/>
          <w:color w:val="212121"/>
          <w:szCs w:val="22"/>
        </w:rPr>
        <w:t>170-178</w:t>
      </w:r>
    </w:p>
    <w:p w14:paraId="0D2D1DD0" w14:textId="77777777" w:rsidR="009C3D14" w:rsidRDefault="009C3D14" w:rsidP="009C3D14">
      <w:pPr>
        <w:rPr>
          <w:rFonts w:eastAsia="Arial" w:cs="Arial"/>
          <w:color w:val="212121"/>
          <w:szCs w:val="22"/>
        </w:rPr>
      </w:pPr>
    </w:p>
    <w:p w14:paraId="003703AD" w14:textId="67555F74" w:rsidR="003F3355" w:rsidRDefault="003F3355" w:rsidP="003F3355">
      <w:pPr>
        <w:rPr>
          <w:rFonts w:eastAsia="Arial" w:cs="Arial"/>
          <w:szCs w:val="22"/>
        </w:rPr>
      </w:pPr>
      <w:r w:rsidRPr="003F3355">
        <w:rPr>
          <w:rFonts w:eastAsia="Arial" w:cs="Arial"/>
          <w:color w:val="212121"/>
          <w:szCs w:val="22"/>
        </w:rPr>
        <w:t xml:space="preserve">Raveendran S, Parameswaran B, </w:t>
      </w:r>
      <w:proofErr w:type="spellStart"/>
      <w:r w:rsidRPr="003F3355">
        <w:rPr>
          <w:rFonts w:eastAsia="Arial" w:cs="Arial"/>
          <w:color w:val="212121"/>
          <w:szCs w:val="22"/>
        </w:rPr>
        <w:t>Ummalyma</w:t>
      </w:r>
      <w:proofErr w:type="spellEnd"/>
      <w:r w:rsidRPr="003F3355">
        <w:rPr>
          <w:rFonts w:eastAsia="Arial" w:cs="Arial"/>
          <w:color w:val="212121"/>
          <w:szCs w:val="22"/>
        </w:rPr>
        <w:t xml:space="preserve"> SB, Abraham A, Mathew AK, </w:t>
      </w:r>
      <w:proofErr w:type="spellStart"/>
      <w:r w:rsidRPr="003F3355">
        <w:rPr>
          <w:rFonts w:eastAsia="Arial" w:cs="Arial"/>
          <w:color w:val="212121"/>
          <w:szCs w:val="22"/>
        </w:rPr>
        <w:t>Madhavan</w:t>
      </w:r>
      <w:proofErr w:type="spellEnd"/>
      <w:r w:rsidRPr="003F3355">
        <w:rPr>
          <w:rFonts w:eastAsia="Arial" w:cs="Arial"/>
          <w:color w:val="212121"/>
          <w:szCs w:val="22"/>
        </w:rPr>
        <w:t xml:space="preserve"> A, Rebello S, Pandey A (2018) Applications of Microbial Enzymes in Food Industry. Food Technology Biotechnology 56(1):16-30</w:t>
      </w:r>
      <w:r w:rsidRPr="003F3355">
        <w:rPr>
          <w:rFonts w:eastAsia="Arial" w:cs="Arial"/>
          <w:szCs w:val="22"/>
        </w:rPr>
        <w:t xml:space="preserve"> </w:t>
      </w:r>
    </w:p>
    <w:p w14:paraId="513BC0DA" w14:textId="271082D3" w:rsidR="00145622" w:rsidRDefault="00145622" w:rsidP="003F3355">
      <w:pPr>
        <w:rPr>
          <w:rFonts w:eastAsia="Arial" w:cs="Arial"/>
          <w:szCs w:val="22"/>
        </w:rPr>
      </w:pPr>
    </w:p>
    <w:p w14:paraId="1E271D50" w14:textId="286D927F" w:rsidR="00AF70C7" w:rsidRDefault="00AF70C7" w:rsidP="480FFCDD">
      <w:pPr>
        <w:rPr>
          <w:rStyle w:val="normaltextrun"/>
          <w:rFonts w:cs="Arial"/>
          <w:color w:val="000000"/>
          <w:shd w:val="clear" w:color="auto" w:fill="FFFFFF"/>
        </w:rPr>
      </w:pPr>
      <w:proofErr w:type="spellStart"/>
      <w:r w:rsidRPr="00AF70C7">
        <w:rPr>
          <w:rStyle w:val="normaltextrun"/>
          <w:rFonts w:cs="Arial"/>
          <w:color w:val="000000"/>
          <w:shd w:val="clear" w:color="auto" w:fill="FFFFFF"/>
        </w:rPr>
        <w:t>Reichelt</w:t>
      </w:r>
      <w:proofErr w:type="spellEnd"/>
      <w:r w:rsidRPr="00AF70C7">
        <w:rPr>
          <w:rStyle w:val="normaltextrun"/>
          <w:rFonts w:cs="Arial"/>
          <w:color w:val="000000"/>
          <w:shd w:val="clear" w:color="auto" w:fill="FFFFFF"/>
        </w:rPr>
        <w:t xml:space="preserve"> JR (1983) Starch. </w:t>
      </w:r>
      <w:r w:rsidR="001B7F67">
        <w:rPr>
          <w:rFonts w:eastAsia="Arial"/>
        </w:rPr>
        <w:t xml:space="preserve">In: Godfrey T, </w:t>
      </w:r>
      <w:proofErr w:type="spellStart"/>
      <w:r w:rsidR="001B7F67">
        <w:rPr>
          <w:rFonts w:eastAsia="Arial"/>
        </w:rPr>
        <w:t>Reichelt</w:t>
      </w:r>
      <w:proofErr w:type="spellEnd"/>
      <w:r w:rsidR="001B7F67">
        <w:rPr>
          <w:rFonts w:eastAsia="Arial"/>
        </w:rPr>
        <w:t xml:space="preserve"> J (eds) </w:t>
      </w:r>
      <w:r w:rsidRPr="00310B4D">
        <w:rPr>
          <w:rFonts w:eastAsia="Arial"/>
        </w:rPr>
        <w:t>Industrial Enzymology</w:t>
      </w:r>
      <w:r w:rsidR="001B7F67">
        <w:rPr>
          <w:rFonts w:eastAsia="Arial"/>
        </w:rPr>
        <w:t>:</w:t>
      </w:r>
      <w:r w:rsidR="001B7F67" w:rsidRPr="00310B4D">
        <w:rPr>
          <w:rFonts w:eastAsia="Arial"/>
        </w:rPr>
        <w:t xml:space="preserve"> </w:t>
      </w:r>
      <w:r w:rsidR="001B7F67">
        <w:rPr>
          <w:rFonts w:eastAsia="Arial"/>
        </w:rPr>
        <w:t>t</w:t>
      </w:r>
      <w:r w:rsidR="001B7F67" w:rsidRPr="00310B4D">
        <w:rPr>
          <w:rFonts w:eastAsia="Arial"/>
        </w:rPr>
        <w:t>he</w:t>
      </w:r>
      <w:r w:rsidRPr="00310B4D">
        <w:rPr>
          <w:rFonts w:eastAsia="Arial"/>
        </w:rPr>
        <w:t xml:space="preserve"> application of enzymes in industry</w:t>
      </w:r>
      <w:r w:rsidR="001B7F67">
        <w:rPr>
          <w:rFonts w:eastAsia="Arial"/>
        </w:rPr>
        <w:t>.</w:t>
      </w:r>
      <w:r w:rsidRPr="00AF70C7">
        <w:rPr>
          <w:rStyle w:val="normaltextrun"/>
          <w:rFonts w:cs="Arial"/>
          <w:color w:val="000000"/>
          <w:shd w:val="clear" w:color="auto" w:fill="FFFFFF"/>
        </w:rPr>
        <w:t xml:space="preserve"> The Nature Press, New York, </w:t>
      </w:r>
      <w:r w:rsidR="001B7F67">
        <w:rPr>
          <w:rStyle w:val="normaltextrun"/>
          <w:rFonts w:cs="Arial"/>
          <w:color w:val="000000"/>
          <w:shd w:val="clear" w:color="auto" w:fill="FFFFFF"/>
        </w:rPr>
        <w:t xml:space="preserve">p. </w:t>
      </w:r>
      <w:r w:rsidRPr="00AF70C7">
        <w:rPr>
          <w:rStyle w:val="normaltextrun"/>
          <w:rFonts w:cs="Arial"/>
          <w:color w:val="000000"/>
          <w:shd w:val="clear" w:color="auto" w:fill="FFFFFF"/>
        </w:rPr>
        <w:t>375-396</w:t>
      </w:r>
      <w:r w:rsidRPr="00AF70C7">
        <w:rPr>
          <w:rStyle w:val="normaltextrun"/>
          <w:rFonts w:cs="Arial"/>
          <w:color w:val="000000"/>
          <w:shd w:val="clear" w:color="auto" w:fill="FFFFFF"/>
        </w:rPr>
        <w:cr/>
      </w:r>
    </w:p>
    <w:p w14:paraId="28ABBE82" w14:textId="77777777" w:rsidR="001F7016" w:rsidRDefault="00145622" w:rsidP="480FFCDD">
      <w:pPr>
        <w:rPr>
          <w:rStyle w:val="normaltextrun"/>
          <w:rFonts w:cs="Arial"/>
          <w:color w:val="3333FF"/>
          <w:u w:val="single"/>
          <w:shd w:val="clear" w:color="auto" w:fill="FFFFFF"/>
        </w:rPr>
      </w:pPr>
      <w:r w:rsidRPr="480FFCDD">
        <w:rPr>
          <w:rStyle w:val="normaltextrun"/>
          <w:rFonts w:cs="Arial"/>
          <w:color w:val="000000"/>
          <w:shd w:val="clear" w:color="auto" w:fill="FFFFFF"/>
        </w:rPr>
        <w:t xml:space="preserve">USPC (2018) Food Chemicals Codex 11th Edition, United States Pharmacopeial Convention, Rockville, MD. </w:t>
      </w:r>
      <w:hyperlink r:id="rId27" w:tgtFrame="_blank" w:history="1">
        <w:r w:rsidRPr="480FFCDD">
          <w:rPr>
            <w:rStyle w:val="normaltextrun"/>
            <w:rFonts w:cs="Arial"/>
            <w:color w:val="3333FF"/>
            <w:u w:val="single"/>
            <w:shd w:val="clear" w:color="auto" w:fill="FFFFFF"/>
          </w:rPr>
          <w:t>http://publications.usp.org/</w:t>
        </w:r>
      </w:hyperlink>
    </w:p>
    <w:p w14:paraId="28E8C33B" w14:textId="77777777" w:rsidR="001F7016" w:rsidRDefault="001F7016" w:rsidP="480FFCDD">
      <w:pPr>
        <w:rPr>
          <w:rStyle w:val="normaltextrun"/>
          <w:rFonts w:cs="Arial"/>
          <w:color w:val="3333FF"/>
          <w:u w:val="single"/>
          <w:shd w:val="clear" w:color="auto" w:fill="FFFFFF"/>
        </w:rPr>
      </w:pPr>
    </w:p>
    <w:p w14:paraId="27449342" w14:textId="59496433" w:rsidR="00145622" w:rsidRPr="003F3355" w:rsidDel="00136983" w:rsidRDefault="001F7016" w:rsidP="480FFCDD">
      <w:pPr>
        <w:rPr>
          <w:rFonts w:eastAsia="Arial" w:cs="Arial"/>
        </w:rPr>
      </w:pPr>
      <w:r w:rsidRPr="001F7016">
        <w:rPr>
          <w:rStyle w:val="eop"/>
          <w:rFonts w:cs="Arial"/>
          <w:color w:val="000000"/>
          <w:shd w:val="clear" w:color="auto" w:fill="FFFFFF"/>
        </w:rPr>
        <w:t xml:space="preserve">Van Oort M (2010) Enzymes in bread making. </w:t>
      </w:r>
      <w:r w:rsidR="001B7F67">
        <w:rPr>
          <w:rStyle w:val="eop"/>
          <w:rFonts w:cs="Arial"/>
          <w:color w:val="000000"/>
          <w:shd w:val="clear" w:color="auto" w:fill="FFFFFF"/>
        </w:rPr>
        <w:t>In:</w:t>
      </w:r>
      <w:r w:rsidRPr="001F7016">
        <w:rPr>
          <w:rStyle w:val="eop"/>
          <w:rFonts w:cs="Arial"/>
          <w:color w:val="000000"/>
          <w:shd w:val="clear" w:color="auto" w:fill="FFFFFF"/>
        </w:rPr>
        <w:t xml:space="preserve"> Whitehurst</w:t>
      </w:r>
      <w:r w:rsidR="001B7F67">
        <w:rPr>
          <w:rStyle w:val="eop"/>
          <w:rFonts w:cs="Arial"/>
          <w:color w:val="000000"/>
          <w:shd w:val="clear" w:color="auto" w:fill="FFFFFF"/>
        </w:rPr>
        <w:t xml:space="preserve"> RJ,</w:t>
      </w:r>
      <w:r w:rsidRPr="001F7016">
        <w:rPr>
          <w:rStyle w:val="eop"/>
          <w:rFonts w:cs="Arial"/>
          <w:color w:val="000000"/>
          <w:shd w:val="clear" w:color="auto" w:fill="FFFFFF"/>
        </w:rPr>
        <w:t xml:space="preserve"> van Oort M</w:t>
      </w:r>
      <w:r w:rsidR="001B7F67">
        <w:rPr>
          <w:rStyle w:val="eop"/>
          <w:rFonts w:cs="Arial"/>
          <w:color w:val="000000"/>
          <w:shd w:val="clear" w:color="auto" w:fill="FFFFFF"/>
        </w:rPr>
        <w:t xml:space="preserve"> (</w:t>
      </w:r>
      <w:r w:rsidRPr="001F7016">
        <w:rPr>
          <w:rStyle w:val="eop"/>
          <w:rFonts w:cs="Arial"/>
          <w:color w:val="000000"/>
          <w:shd w:val="clear" w:color="auto" w:fill="FFFFFF"/>
        </w:rPr>
        <w:t>eds) Enzymes in Food Technology</w:t>
      </w:r>
      <w:r w:rsidR="001B7F67">
        <w:rPr>
          <w:rStyle w:val="eop"/>
          <w:rFonts w:cs="Arial"/>
          <w:color w:val="000000"/>
          <w:shd w:val="clear" w:color="auto" w:fill="FFFFFF"/>
        </w:rPr>
        <w:t>.</w:t>
      </w:r>
      <w:r w:rsidRPr="001F7016">
        <w:rPr>
          <w:rStyle w:val="eop"/>
          <w:rFonts w:cs="Arial"/>
          <w:color w:val="000000"/>
          <w:shd w:val="clear" w:color="auto" w:fill="FFFFFF"/>
        </w:rPr>
        <w:t xml:space="preserve"> Wiley-Blackwell, UK</w:t>
      </w:r>
      <w:r w:rsidR="001B7F67">
        <w:rPr>
          <w:rStyle w:val="eop"/>
          <w:rFonts w:cs="Arial"/>
          <w:color w:val="000000"/>
          <w:shd w:val="clear" w:color="auto" w:fill="FFFFFF"/>
        </w:rPr>
        <w:t>,</w:t>
      </w:r>
      <w:r w:rsidRPr="001F7016">
        <w:rPr>
          <w:rStyle w:val="eop"/>
          <w:rFonts w:cs="Arial"/>
          <w:color w:val="000000"/>
          <w:shd w:val="clear" w:color="auto" w:fill="FFFFFF"/>
        </w:rPr>
        <w:t xml:space="preserve"> </w:t>
      </w:r>
      <w:r w:rsidR="001B7F67">
        <w:rPr>
          <w:rStyle w:val="eop"/>
          <w:rFonts w:cs="Arial"/>
          <w:color w:val="000000"/>
          <w:shd w:val="clear" w:color="auto" w:fill="FFFFFF"/>
        </w:rPr>
        <w:t>P</w:t>
      </w:r>
      <w:r w:rsidRPr="001F7016">
        <w:rPr>
          <w:rStyle w:val="eop"/>
          <w:rFonts w:cs="Arial"/>
          <w:color w:val="000000"/>
          <w:shd w:val="clear" w:color="auto" w:fill="FFFFFF"/>
        </w:rPr>
        <w:t>. 103-143</w:t>
      </w:r>
      <w:r w:rsidR="00145622" w:rsidRPr="480FFCDD">
        <w:rPr>
          <w:rStyle w:val="eop"/>
          <w:rFonts w:cs="Arial"/>
          <w:color w:val="000000"/>
          <w:shd w:val="clear" w:color="auto" w:fill="FFFFFF"/>
        </w:rPr>
        <w:t> </w:t>
      </w:r>
    </w:p>
    <w:sectPr w:rsidR="00145622" w:rsidRPr="003F3355" w:rsidDel="00136983" w:rsidSect="00E77534">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8C58" w14:textId="77777777" w:rsidR="007F3200" w:rsidRDefault="007F3200">
      <w:r>
        <w:separator/>
      </w:r>
    </w:p>
  </w:endnote>
  <w:endnote w:type="continuationSeparator" w:id="0">
    <w:p w14:paraId="6EA5C033" w14:textId="77777777" w:rsidR="007F3200" w:rsidRDefault="007F3200">
      <w:r>
        <w:continuationSeparator/>
      </w:r>
    </w:p>
  </w:endnote>
  <w:endnote w:type="continuationNotice" w:id="1">
    <w:p w14:paraId="7D32764D" w14:textId="77777777" w:rsidR="007F3200" w:rsidRDefault="007F3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MT">
    <w:altName w:val="MS Gothic"/>
    <w:charset w:val="00"/>
    <w:family w:val="auto"/>
    <w:pitch w:val="variable"/>
    <w:sig w:usb0="00000000"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9E83" w14:textId="77777777" w:rsidR="00DA4C04" w:rsidRPr="00F500B5" w:rsidRDefault="00DA4C04" w:rsidP="00B2740A">
    <w:pPr>
      <w:framePr w:wrap="around" w:vAnchor="text" w:hAnchor="margin" w:xAlign="center" w:y="1"/>
      <w:jc w:val="center"/>
      <w:rPr>
        <w:rFonts w:ascii="Calibri" w:hAnsi="Calibri" w:cs="Calibri"/>
        <w:b/>
        <w:color w:val="F00000"/>
        <w:sz w:val="24"/>
      </w:rPr>
    </w:pPr>
    <w:r>
      <w:rPr>
        <w:rFonts w:asciiTheme="minorHAnsi" w:eastAsiaTheme="minorEastAsia" w:hAnsiTheme="minorHAnsi"/>
        <w:sz w:val="3276"/>
        <w:szCs w:val="3276"/>
        <w:lang w:eastAsia="en-GB" w:bidi="ar-SA"/>
      </w:rPr>
      <w:fldChar w:fldCharType="begin" w:fldLock="1"/>
    </w:r>
    <w:r>
      <w:rPr>
        <w:rFonts w:cs="Arial"/>
      </w:rPr>
      <w:instrText xml:space="preserve"> DOCPROPERTY bjFooterEvenPageDocProperty \* MERGEFORMAT </w:instrText>
    </w:r>
    <w:r>
      <w:rPr>
        <w:rFonts w:asciiTheme="minorHAnsi" w:eastAsiaTheme="minorEastAsia" w:hAnsiTheme="minorHAnsi"/>
        <w:sz w:val="3276"/>
        <w:szCs w:val="3276"/>
        <w:lang w:eastAsia="en-GB" w:bidi="ar-SA"/>
      </w:rPr>
      <w:fldChar w:fldCharType="separate"/>
    </w:r>
  </w:p>
  <w:p w14:paraId="607F1E67" w14:textId="179EF729" w:rsidR="008E38EB" w:rsidRDefault="00DA4C04" w:rsidP="00DA4C04">
    <w:pPr>
      <w:pStyle w:val="Footer"/>
      <w:framePr w:wrap="around" w:vAnchor="text" w:hAnchor="margin" w:xAlign="center" w:y="1"/>
      <w:jc w:val="center"/>
      <w:rPr>
        <w:rStyle w:val="PageNumber"/>
      </w:rPr>
    </w:pPr>
    <w:r w:rsidRPr="00F500B5">
      <w:rPr>
        <w:rFonts w:ascii="Calibri" w:eastAsiaTheme="majorEastAsia" w:hAnsi="Calibri" w:cs="Calibri"/>
        <w:b/>
        <w:color w:val="F00000"/>
        <w:sz w:val="24"/>
      </w:rPr>
      <w:t>OFFICIAL</w:t>
    </w:r>
    <w:r>
      <w:rPr>
        <w:rFonts w:eastAsiaTheme="majorEastAsia" w:cs="Arial"/>
      </w:rPr>
      <w:t xml:space="preserve"> </w:t>
    </w:r>
    <w:r>
      <w:rPr>
        <w:rFonts w:eastAsiaTheme="majorEastAsia" w:cs="Arial"/>
      </w:rPr>
      <w:fldChar w:fldCharType="end"/>
    </w:r>
    <w:r w:rsidR="008E38EB">
      <w:rPr>
        <w:rStyle w:val="PageNumber"/>
      </w:rPr>
      <w:fldChar w:fldCharType="begin"/>
    </w:r>
    <w:r w:rsidR="008E38EB">
      <w:rPr>
        <w:rStyle w:val="PageNumber"/>
      </w:rPr>
      <w:instrText xml:space="preserve">PAGE  </w:instrText>
    </w:r>
    <w:r w:rsidR="008E38EB">
      <w:rPr>
        <w:rStyle w:val="PageNumber"/>
      </w:rPr>
      <w:fldChar w:fldCharType="end"/>
    </w:r>
  </w:p>
  <w:p w14:paraId="07BE4584" w14:textId="77777777" w:rsidR="008E38EB" w:rsidRDefault="008E38EB" w:rsidP="00A43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010618"/>
      <w:docPartObj>
        <w:docPartGallery w:val="Page Numbers (Bottom of Page)"/>
        <w:docPartUnique/>
      </w:docPartObj>
    </w:sdtPr>
    <w:sdtEndPr>
      <w:rPr>
        <w:noProof/>
      </w:rPr>
    </w:sdtEndPr>
    <w:sdtContent>
      <w:p w14:paraId="49FBB5DA" w14:textId="748FAAFD" w:rsidR="008E38EB" w:rsidRDefault="008E38EB">
        <w:pPr>
          <w:pStyle w:val="Footer"/>
        </w:pPr>
        <w:r>
          <w:fldChar w:fldCharType="begin"/>
        </w:r>
        <w:r>
          <w:instrText xml:space="preserve"> PAGE   \* MERGEFORMAT </w:instrText>
        </w:r>
        <w:r>
          <w:fldChar w:fldCharType="separate"/>
        </w:r>
        <w:r w:rsidR="004054A5">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07A5" w14:textId="77777777" w:rsidR="00DA4C04" w:rsidRPr="0047252D" w:rsidRDefault="00DA4C04" w:rsidP="00B2740A">
    <w:pPr>
      <w:jc w:val="center"/>
      <w:rPr>
        <w:rFonts w:ascii="Calibri" w:hAnsi="Calibri" w:cs="Calibri"/>
        <w:b/>
        <w:color w:val="F00000"/>
        <w:sz w:val="24"/>
      </w:rPr>
    </w:pPr>
    <w:r>
      <w:rPr>
        <w:rFonts w:asciiTheme="minorHAnsi" w:eastAsiaTheme="minorEastAsia" w:hAnsiTheme="minorHAnsi"/>
        <w:sz w:val="3276"/>
        <w:szCs w:val="3276"/>
        <w:lang w:eastAsia="en-GB" w:bidi="ar-SA"/>
      </w:rPr>
      <w:fldChar w:fldCharType="begin" w:fldLock="1"/>
    </w:r>
    <w:r>
      <w:instrText xml:space="preserve"> DOCPROPERTY bjFooterFirstPageDocProperty \* MERGEFORMAT </w:instrText>
    </w:r>
    <w:r>
      <w:rPr>
        <w:rFonts w:asciiTheme="minorHAnsi" w:eastAsiaTheme="minorEastAsia" w:hAnsiTheme="minorHAnsi"/>
        <w:sz w:val="3276"/>
        <w:szCs w:val="3276"/>
        <w:lang w:eastAsia="en-GB" w:bidi="ar-SA"/>
      </w:rPr>
      <w:fldChar w:fldCharType="separate"/>
    </w:r>
  </w:p>
  <w:p w14:paraId="08529FFF" w14:textId="022C4286" w:rsidR="008E38EB" w:rsidRPr="00DA4C04" w:rsidRDefault="00DA4C04" w:rsidP="00DA4C04">
    <w:pPr>
      <w:pStyle w:val="Footer"/>
      <w:jc w:val="center"/>
    </w:pPr>
    <w:r w:rsidRPr="00F500B5">
      <w:rPr>
        <w:rFonts w:ascii="Calibri" w:eastAsiaTheme="majorEastAsia" w:hAnsi="Calibri" w:cs="Calibri"/>
        <w:b/>
        <w:color w:val="F00000"/>
        <w:sz w:val="24"/>
      </w:rPr>
      <w:t>OFFICIAL</w:t>
    </w:r>
    <w:r>
      <w:rPr>
        <w:rFonts w:eastAsiaTheme="majorEastAsia"/>
      </w:rPr>
      <w:t xml:space="preserve"> </w:t>
    </w:r>
    <w:r>
      <w:rPr>
        <w:rFonts w:eastAsiaTheme="major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4577" w14:textId="77777777" w:rsidR="00DA4C04" w:rsidRPr="00F500B5" w:rsidRDefault="00DA4C04" w:rsidP="00B2740A">
    <w:pPr>
      <w:framePr w:wrap="around" w:vAnchor="text" w:hAnchor="margin" w:xAlign="center" w:y="1"/>
      <w:jc w:val="center"/>
      <w:rPr>
        <w:rFonts w:ascii="Calibri" w:hAnsi="Calibri" w:cs="Calibri"/>
        <w:b/>
        <w:color w:val="F00000"/>
        <w:sz w:val="24"/>
      </w:rPr>
    </w:pPr>
    <w:r>
      <w:rPr>
        <w:rFonts w:asciiTheme="minorHAnsi" w:eastAsiaTheme="minorEastAsia" w:hAnsiTheme="minorHAnsi"/>
        <w:sz w:val="3276"/>
        <w:szCs w:val="3276"/>
        <w:lang w:eastAsia="en-GB" w:bidi="ar-SA"/>
      </w:rPr>
      <w:fldChar w:fldCharType="begin" w:fldLock="1"/>
    </w:r>
    <w:r>
      <w:rPr>
        <w:rFonts w:cs="Arial"/>
      </w:rPr>
      <w:instrText xml:space="preserve"> DOCPROPERTY bjFooterEvenPageDocProperty \* MERGEFORMAT </w:instrText>
    </w:r>
    <w:r>
      <w:rPr>
        <w:rFonts w:asciiTheme="minorHAnsi" w:eastAsiaTheme="minorEastAsia" w:hAnsiTheme="minorHAnsi"/>
        <w:sz w:val="3276"/>
        <w:szCs w:val="3276"/>
        <w:lang w:eastAsia="en-GB" w:bidi="ar-SA"/>
      </w:rPr>
      <w:fldChar w:fldCharType="separate"/>
    </w:r>
  </w:p>
  <w:p w14:paraId="6E06F04E" w14:textId="281EE84F" w:rsidR="008E38EB" w:rsidRDefault="00DA4C04" w:rsidP="00DA4C04">
    <w:pPr>
      <w:pStyle w:val="Footer"/>
      <w:framePr w:wrap="around" w:vAnchor="text" w:hAnchor="margin" w:xAlign="center" w:y="1"/>
      <w:jc w:val="center"/>
      <w:rPr>
        <w:rStyle w:val="PageNumber"/>
      </w:rPr>
    </w:pPr>
    <w:r w:rsidRPr="00F500B5">
      <w:rPr>
        <w:rFonts w:ascii="Calibri" w:eastAsiaTheme="majorEastAsia" w:hAnsi="Calibri" w:cs="Calibri"/>
        <w:b/>
        <w:color w:val="F00000"/>
        <w:sz w:val="24"/>
      </w:rPr>
      <w:t>OFFICIAL</w:t>
    </w:r>
    <w:r>
      <w:rPr>
        <w:rFonts w:eastAsiaTheme="majorEastAsia" w:cs="Arial"/>
      </w:rPr>
      <w:t xml:space="preserve"> </w:t>
    </w:r>
    <w:r>
      <w:rPr>
        <w:rFonts w:eastAsiaTheme="majorEastAsia" w:cs="Arial"/>
      </w:rPr>
      <w:fldChar w:fldCharType="end"/>
    </w:r>
    <w:r w:rsidR="008E38EB">
      <w:rPr>
        <w:rStyle w:val="PageNumber"/>
      </w:rPr>
      <w:fldChar w:fldCharType="begin"/>
    </w:r>
    <w:r w:rsidR="008E38EB">
      <w:rPr>
        <w:rStyle w:val="PageNumber"/>
      </w:rPr>
      <w:instrText xml:space="preserve">PAGE  </w:instrText>
    </w:r>
    <w:r w:rsidR="008E38EB">
      <w:rPr>
        <w:rStyle w:val="PageNumber"/>
      </w:rPr>
      <w:fldChar w:fldCharType="end"/>
    </w:r>
  </w:p>
  <w:p w14:paraId="1B3DE004" w14:textId="77777777" w:rsidR="008E38EB" w:rsidRDefault="008E38EB" w:rsidP="00A434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8AA6" w14:textId="77777777" w:rsidR="00B2740A" w:rsidRPr="008B20E6" w:rsidRDefault="00B2740A" w:rsidP="00B2740A">
    <w:pPr>
      <w:framePr w:wrap="around" w:vAnchor="text" w:hAnchor="margin" w:xAlign="center" w:y="1"/>
      <w:jc w:val="center"/>
      <w:rPr>
        <w:rFonts w:ascii="Calibri" w:hAnsi="Calibri" w:cs="Calibri"/>
        <w:b/>
        <w:color w:val="F00000"/>
        <w:sz w:val="24"/>
      </w:rPr>
    </w:pPr>
    <w:r>
      <w:rPr>
        <w:rFonts w:asciiTheme="minorHAnsi" w:eastAsiaTheme="minorEastAsia" w:hAnsiTheme="minorHAnsi"/>
        <w:sz w:val="3276"/>
        <w:szCs w:val="3276"/>
        <w:lang w:eastAsia="en-GB" w:bidi="ar-SA"/>
      </w:rPr>
      <w:fldChar w:fldCharType="begin" w:fldLock="1"/>
    </w:r>
    <w:r>
      <w:instrText xml:space="preserve"> DOCPROPERTY bjFooterBothDocProperty \* MERGEFORMAT </w:instrText>
    </w:r>
    <w:r>
      <w:rPr>
        <w:rFonts w:asciiTheme="minorHAnsi" w:eastAsiaTheme="minorEastAsia" w:hAnsiTheme="minorHAnsi"/>
        <w:sz w:val="3276"/>
        <w:szCs w:val="3276"/>
        <w:lang w:eastAsia="en-GB" w:bidi="ar-SA"/>
      </w:rPr>
      <w:fldChar w:fldCharType="separate"/>
    </w:r>
  </w:p>
  <w:p w14:paraId="2B6FA75E" w14:textId="3F773610" w:rsidR="00B2740A" w:rsidRDefault="00B2740A" w:rsidP="004761B2">
    <w:pPr>
      <w:framePr w:wrap="around" w:vAnchor="text" w:hAnchor="margin" w:xAlign="center" w:y="1"/>
      <w:spacing w:after="160"/>
      <w:rPr>
        <w:rFonts w:ascii="Calibri" w:eastAsiaTheme="majorEastAsia" w:hAnsi="Calibri" w:cs="Calibri"/>
        <w:b/>
        <w:color w:val="F00000"/>
        <w:sz w:val="24"/>
      </w:rPr>
    </w:pPr>
    <w:r>
      <w:fldChar w:fldCharType="end"/>
    </w:r>
  </w:p>
  <w:p w14:paraId="5B0A41C7" w14:textId="446027BF" w:rsidR="008E38EB" w:rsidRDefault="008E38E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54A5">
      <w:rPr>
        <w:rStyle w:val="PageNumber"/>
        <w:noProof/>
      </w:rPr>
      <w:t>3</w:t>
    </w:r>
    <w:r>
      <w:rPr>
        <w:rStyle w:val="PageNumber"/>
      </w:rPr>
      <w:fldChar w:fldCharType="end"/>
    </w:r>
  </w:p>
  <w:p w14:paraId="338A586B" w14:textId="77777777" w:rsidR="008E38EB" w:rsidRDefault="008E38EB" w:rsidP="00DA4C0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6618" w14:textId="77777777" w:rsidR="00DA4C04" w:rsidRPr="0047252D" w:rsidRDefault="00DA4C04" w:rsidP="00B2740A">
    <w:pPr>
      <w:jc w:val="center"/>
      <w:rPr>
        <w:rFonts w:ascii="Calibri" w:hAnsi="Calibri" w:cs="Calibri"/>
        <w:b/>
        <w:color w:val="F00000"/>
        <w:sz w:val="24"/>
      </w:rPr>
    </w:pPr>
    <w:r>
      <w:rPr>
        <w:rFonts w:asciiTheme="minorHAnsi" w:eastAsiaTheme="minorEastAsia" w:hAnsiTheme="minorHAnsi"/>
        <w:sz w:val="3276"/>
        <w:szCs w:val="3276"/>
        <w:lang w:eastAsia="en-GB" w:bidi="ar-SA"/>
      </w:rPr>
      <w:fldChar w:fldCharType="begin" w:fldLock="1"/>
    </w:r>
    <w:r>
      <w:instrText xml:space="preserve"> DOCPROPERTY bjFooterFirstPageDocProperty \* MERGEFORMAT </w:instrText>
    </w:r>
    <w:r>
      <w:rPr>
        <w:rFonts w:asciiTheme="minorHAnsi" w:eastAsiaTheme="minorEastAsia" w:hAnsiTheme="minorHAnsi"/>
        <w:sz w:val="3276"/>
        <w:szCs w:val="3276"/>
        <w:lang w:eastAsia="en-GB" w:bidi="ar-SA"/>
      </w:rPr>
      <w:fldChar w:fldCharType="separate"/>
    </w:r>
  </w:p>
  <w:p w14:paraId="14577783" w14:textId="6BE2B17C" w:rsidR="008E38EB" w:rsidRPr="00DA4C04" w:rsidRDefault="00DA4C04" w:rsidP="00DA4C04">
    <w:pPr>
      <w:pStyle w:val="Footer"/>
      <w:jc w:val="center"/>
    </w:pPr>
    <w:r w:rsidRPr="00F500B5">
      <w:rPr>
        <w:rFonts w:ascii="Calibri" w:eastAsiaTheme="majorEastAsia" w:hAnsi="Calibri" w:cs="Calibri"/>
        <w:b/>
        <w:color w:val="F00000"/>
        <w:sz w:val="24"/>
      </w:rPr>
      <w:t>OFFICIAL</w:t>
    </w:r>
    <w:r>
      <w:rPr>
        <w:rFonts w:eastAsiaTheme="majorEastAsia"/>
      </w:rPr>
      <w:t xml:space="preserve"> </w:t>
    </w:r>
    <w:r>
      <w:rP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79F7" w14:textId="77777777" w:rsidR="007F3200" w:rsidRDefault="007F3200">
      <w:r>
        <w:separator/>
      </w:r>
    </w:p>
  </w:footnote>
  <w:footnote w:type="continuationSeparator" w:id="0">
    <w:p w14:paraId="258DA6BA" w14:textId="77777777" w:rsidR="007F3200" w:rsidRDefault="007F3200">
      <w:r>
        <w:continuationSeparator/>
      </w:r>
    </w:p>
  </w:footnote>
  <w:footnote w:type="continuationNotice" w:id="1">
    <w:p w14:paraId="6C90AAEB" w14:textId="77777777" w:rsidR="007F3200" w:rsidRDefault="007F3200"/>
  </w:footnote>
  <w:footnote w:id="2">
    <w:p w14:paraId="7E6D6D39" w14:textId="77777777" w:rsidR="008E38EB" w:rsidRPr="00660677" w:rsidRDefault="008E38EB" w:rsidP="00DC57AF">
      <w:pPr>
        <w:pStyle w:val="FootnoteText"/>
        <w:rPr>
          <w:lang w:val="en-AU"/>
        </w:rPr>
      </w:pPr>
      <w:r>
        <w:rPr>
          <w:rStyle w:val="FootnoteReference"/>
        </w:rPr>
        <w:footnoteRef/>
      </w:r>
      <w:r>
        <w:t xml:space="preserve"> International Union of Biochemistry and Molecular Biology</w:t>
      </w:r>
    </w:p>
  </w:footnote>
  <w:footnote w:id="3">
    <w:p w14:paraId="5A9E4046" w14:textId="77777777" w:rsidR="008E38EB" w:rsidRPr="0064449B" w:rsidRDefault="008E38EB" w:rsidP="00DC57AF">
      <w:pPr>
        <w:pStyle w:val="FootnoteText"/>
        <w:rPr>
          <w:lang w:val="en-AU"/>
        </w:rPr>
      </w:pPr>
      <w:r>
        <w:rPr>
          <w:rStyle w:val="FootnoteReference"/>
        </w:rPr>
        <w:footnoteRef/>
      </w:r>
      <w:r>
        <w:t xml:space="preserve"> </w:t>
      </w:r>
      <w:r>
        <w:rPr>
          <w:lang w:val="en-AU"/>
        </w:rPr>
        <w:t>Chemical Abstracts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3FB0" w14:textId="77777777" w:rsidR="00DA4C04" w:rsidRPr="0047252D" w:rsidRDefault="00DA4C04" w:rsidP="00B2740A">
    <w:pPr>
      <w:jc w:val="center"/>
      <w:rPr>
        <w:rFonts w:ascii="Calibri" w:hAnsi="Calibri" w:cs="Calibri"/>
        <w:b/>
        <w:color w:val="F00000"/>
        <w:sz w:val="24"/>
      </w:rPr>
    </w:pPr>
    <w:r>
      <w:rPr>
        <w:rFonts w:asciiTheme="minorHAnsi" w:eastAsiaTheme="minorEastAsia" w:hAnsiTheme="minorHAnsi"/>
        <w:sz w:val="3276"/>
        <w:szCs w:val="3276"/>
        <w:lang w:eastAsia="en-GB" w:bidi="ar-SA"/>
      </w:rPr>
      <w:fldChar w:fldCharType="begin" w:fldLock="1"/>
    </w:r>
    <w:r>
      <w:instrText xml:space="preserve"> DOCPROPERTY bjHeaderEvenPageDocProperty \* MERGEFORMAT </w:instrText>
    </w:r>
    <w:r>
      <w:rPr>
        <w:rFonts w:asciiTheme="minorHAnsi" w:eastAsiaTheme="minorEastAsia" w:hAnsiTheme="minorHAnsi"/>
        <w:sz w:val="3276"/>
        <w:szCs w:val="3276"/>
        <w:lang w:eastAsia="en-GB" w:bidi="ar-SA"/>
      </w:rPr>
      <w:fldChar w:fldCharType="separate"/>
    </w:r>
    <w:r w:rsidRPr="0047252D">
      <w:rPr>
        <w:rFonts w:ascii="Calibri" w:hAnsi="Calibri" w:cs="Calibri"/>
        <w:b/>
        <w:color w:val="F00000"/>
        <w:sz w:val="24"/>
      </w:rPr>
      <w:t>OFFICIAL</w:t>
    </w:r>
  </w:p>
  <w:p w14:paraId="7FC6083F" w14:textId="72721CB3" w:rsidR="008E38EB" w:rsidRPr="00DA4C04" w:rsidRDefault="00DA4C04" w:rsidP="00DA4C04">
    <w:pPr>
      <w:pStyle w:val="Header"/>
      <w:jc w:val="center"/>
    </w:pPr>
    <w:r w:rsidRPr="00F500B5">
      <w:rPr>
        <w:rFonts w:ascii="Calibri" w:eastAsiaTheme="majorEastAsia" w:hAnsi="Calibri" w:cs="Calibri"/>
        <w:b/>
        <w:color w:val="F00000"/>
        <w:sz w:val="24"/>
      </w:rPr>
      <w:t xml:space="preserve"> </w:t>
    </w:r>
    <w:r>
      <w:rPr>
        <w:rFonts w:eastAsiaTheme="majorEastAsi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13B" w14:textId="2A678F38" w:rsidR="00DA4C04" w:rsidRPr="004054A5" w:rsidRDefault="00DA4C04" w:rsidP="004761B2">
    <w:pPr>
      <w:rPr>
        <w:rFonts w:ascii="Calibri" w:eastAsiaTheme="majorEastAsia" w:hAnsi="Calibri" w:cs="Calibri"/>
        <w:b/>
        <w:color w:val="F00000"/>
        <w:sz w:val="24"/>
      </w:rPr>
    </w:pPr>
    <w:r>
      <w:rPr>
        <w:rFonts w:asciiTheme="minorHAnsi" w:eastAsiaTheme="minorEastAsia" w:hAnsiTheme="minorHAnsi"/>
        <w:sz w:val="3276"/>
        <w:szCs w:val="3276"/>
        <w:lang w:eastAsia="en-GB" w:bidi="ar-SA"/>
      </w:rPr>
      <w:fldChar w:fldCharType="begin" w:fldLock="1"/>
    </w:r>
    <w:r>
      <w:rPr>
        <w:rFonts w:eastAsiaTheme="majorEastAsia"/>
      </w:rPr>
      <w:instrText xml:space="preserve"> DOCPROPERTY bjHeaderBothDocProperty \* MERGEFORMAT </w:instrText>
    </w:r>
    <w:r>
      <w:rPr>
        <w:rFonts w:asciiTheme="minorHAnsi" w:eastAsiaTheme="minorEastAsia" w:hAnsiTheme="minorHAnsi"/>
        <w:sz w:val="3276"/>
        <w:szCs w:val="3276"/>
        <w:lang w:eastAsia="en-GB" w:bidi="ar-SA"/>
      </w:rPr>
      <w:fldChar w:fldCharType="separate"/>
    </w:r>
  </w:p>
  <w:p w14:paraId="3305519F" w14:textId="6972E8CC" w:rsidR="008E38EB" w:rsidRPr="00DA4C04" w:rsidRDefault="00AF70C7" w:rsidP="00834F33">
    <w:pPr>
      <w:pStyle w:val="Header"/>
      <w:jc w:val="center"/>
    </w:pPr>
    <w:r w:rsidRPr="00A4343B">
      <w:rPr>
        <w:rFonts w:ascii="Calibri" w:hAnsi="Calibri" w:cs="Calibri"/>
        <w:b/>
        <w:color w:val="F00000"/>
        <w:sz w:val="24"/>
      </w:rPr>
      <w:t xml:space="preserve"> </w:t>
    </w:r>
    <w:r w:rsidR="00DA4C04">
      <w:rPr>
        <w:rFonts w:eastAsiaTheme="maj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4CBE" w14:textId="77777777" w:rsidR="00DA4C04" w:rsidRPr="0047252D" w:rsidRDefault="00DA4C04" w:rsidP="00B2740A">
    <w:pPr>
      <w:jc w:val="center"/>
      <w:rPr>
        <w:rFonts w:ascii="Calibri" w:hAnsi="Calibri" w:cs="Calibri"/>
        <w:b/>
        <w:color w:val="F00000"/>
        <w:sz w:val="24"/>
      </w:rPr>
    </w:pPr>
    <w:r>
      <w:rPr>
        <w:rFonts w:asciiTheme="minorHAnsi" w:eastAsiaTheme="minorEastAsia" w:hAnsiTheme="minorHAnsi"/>
        <w:sz w:val="3276"/>
        <w:szCs w:val="3276"/>
        <w:lang w:eastAsia="en-GB" w:bidi="ar-SA"/>
      </w:rPr>
      <w:fldChar w:fldCharType="begin" w:fldLock="1"/>
    </w:r>
    <w:r>
      <w:rPr>
        <w:rFonts w:cs="Arial"/>
      </w:rPr>
      <w:instrText xml:space="preserve"> DOCPROPERTY bjHeaderFirstPageDocProperty \* MERGEFORMAT </w:instrText>
    </w:r>
    <w:r>
      <w:rPr>
        <w:rFonts w:asciiTheme="minorHAnsi" w:eastAsiaTheme="minorEastAsia" w:hAnsiTheme="minorHAnsi"/>
        <w:sz w:val="3276"/>
        <w:szCs w:val="3276"/>
        <w:lang w:eastAsia="en-GB" w:bidi="ar-SA"/>
      </w:rPr>
      <w:fldChar w:fldCharType="separate"/>
    </w:r>
    <w:r w:rsidRPr="0047252D">
      <w:rPr>
        <w:rFonts w:ascii="Calibri" w:hAnsi="Calibri" w:cs="Calibri"/>
        <w:b/>
        <w:color w:val="F00000"/>
        <w:sz w:val="24"/>
      </w:rPr>
      <w:t>OFFICIAL</w:t>
    </w:r>
  </w:p>
  <w:p w14:paraId="6F716011" w14:textId="340DF169" w:rsidR="00336509" w:rsidRDefault="00DA4C04" w:rsidP="00A4343B">
    <w:pPr>
      <w:pStyle w:val="Header"/>
      <w:jc w:val="center"/>
      <w:rPr>
        <w:b/>
        <w:bCs/>
      </w:rPr>
    </w:pPr>
    <w:r w:rsidRPr="00F500B5">
      <w:rPr>
        <w:rFonts w:ascii="Calibri" w:eastAsiaTheme="majorEastAsia" w:hAnsi="Calibri" w:cs="Calibri"/>
        <w:b/>
        <w:color w:val="F00000"/>
        <w:sz w:val="24"/>
      </w:rPr>
      <w:t xml:space="preserve"> </w:t>
    </w:r>
    <w:r>
      <w:rPr>
        <w:rFonts w:eastAsiaTheme="majorEastAsia" w:cs="Arial"/>
      </w:rPr>
      <w:fldChar w:fldCharType="end"/>
    </w:r>
  </w:p>
  <w:p w14:paraId="2760D11A" w14:textId="5F12CDE3" w:rsidR="008E38EB" w:rsidRDefault="008E38EB">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70E3" w14:textId="77777777" w:rsidR="00DA4C04" w:rsidRPr="0047252D" w:rsidRDefault="00DA4C04" w:rsidP="00B2740A">
    <w:pPr>
      <w:jc w:val="center"/>
      <w:rPr>
        <w:rFonts w:ascii="Calibri" w:hAnsi="Calibri" w:cs="Calibri"/>
        <w:b/>
        <w:color w:val="F00000"/>
        <w:sz w:val="24"/>
      </w:rPr>
    </w:pPr>
    <w:r>
      <w:rPr>
        <w:rFonts w:asciiTheme="minorHAnsi" w:eastAsiaTheme="minorEastAsia" w:hAnsiTheme="minorHAnsi"/>
        <w:sz w:val="3276"/>
        <w:szCs w:val="3276"/>
        <w:lang w:eastAsia="en-GB" w:bidi="ar-SA"/>
      </w:rPr>
      <w:fldChar w:fldCharType="begin" w:fldLock="1"/>
    </w:r>
    <w:r>
      <w:instrText xml:space="preserve"> DOCPROPERTY bjHeaderEvenPageDocProperty \* MERGEFORMAT </w:instrText>
    </w:r>
    <w:r>
      <w:rPr>
        <w:rFonts w:asciiTheme="minorHAnsi" w:eastAsiaTheme="minorEastAsia" w:hAnsiTheme="minorHAnsi"/>
        <w:sz w:val="3276"/>
        <w:szCs w:val="3276"/>
        <w:lang w:eastAsia="en-GB" w:bidi="ar-SA"/>
      </w:rPr>
      <w:fldChar w:fldCharType="separate"/>
    </w:r>
    <w:r w:rsidRPr="0047252D">
      <w:rPr>
        <w:rFonts w:ascii="Calibri" w:hAnsi="Calibri" w:cs="Calibri"/>
        <w:b/>
        <w:color w:val="F00000"/>
        <w:sz w:val="24"/>
      </w:rPr>
      <w:t>OFFICIAL</w:t>
    </w:r>
  </w:p>
  <w:p w14:paraId="775FE45A" w14:textId="16ED8158" w:rsidR="008E38EB" w:rsidRPr="00DA4C04" w:rsidRDefault="00DA4C04" w:rsidP="00DA4C04">
    <w:pPr>
      <w:pStyle w:val="Header"/>
      <w:jc w:val="center"/>
    </w:pPr>
    <w:r w:rsidRPr="00F500B5">
      <w:rPr>
        <w:rFonts w:ascii="Calibri" w:eastAsiaTheme="majorEastAsia" w:hAnsi="Calibri" w:cs="Calibri"/>
        <w:b/>
        <w:color w:val="F00000"/>
        <w:sz w:val="24"/>
      </w:rPr>
      <w:t xml:space="preserve"> </w:t>
    </w:r>
    <w:r>
      <w:rPr>
        <w:rFonts w:eastAsiaTheme="major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8147" w14:textId="35E7D69F" w:rsidR="008E38EB" w:rsidRPr="004761B2" w:rsidRDefault="00DA4C04" w:rsidP="004761B2">
    <w:pPr>
      <w:jc w:val="center"/>
      <w:rPr>
        <w:rFonts w:ascii="Calibri" w:hAnsi="Calibri" w:cs="Calibri"/>
        <w:b/>
        <w:color w:val="F00000"/>
        <w:sz w:val="24"/>
      </w:rPr>
    </w:pPr>
    <w:fldSimple w:instr=" DOCPROPERTY bjHeaderBothDocProperty \* MERGEFORMAT " w:fldLock="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3DA9" w14:textId="77777777" w:rsidR="00DA4C04" w:rsidRPr="0047252D" w:rsidRDefault="00DA4C04" w:rsidP="00B2740A">
    <w:pPr>
      <w:jc w:val="center"/>
      <w:rPr>
        <w:rFonts w:ascii="Calibri" w:hAnsi="Calibri" w:cs="Calibri"/>
        <w:b/>
        <w:color w:val="F00000"/>
        <w:sz w:val="24"/>
      </w:rPr>
    </w:pPr>
    <w:r>
      <w:rPr>
        <w:rFonts w:asciiTheme="minorHAnsi" w:eastAsiaTheme="minorEastAsia" w:hAnsiTheme="minorHAnsi"/>
        <w:sz w:val="3276"/>
        <w:szCs w:val="3276"/>
        <w:lang w:eastAsia="en-GB" w:bidi="ar-SA"/>
      </w:rPr>
      <w:fldChar w:fldCharType="begin" w:fldLock="1"/>
    </w:r>
    <w:r>
      <w:rPr>
        <w:rFonts w:cs="Arial"/>
      </w:rPr>
      <w:instrText xml:space="preserve"> DOCPROPERTY bjHeaderFirstPageDocProperty \* MERGEFORMAT </w:instrText>
    </w:r>
    <w:r>
      <w:rPr>
        <w:rFonts w:asciiTheme="minorHAnsi" w:eastAsiaTheme="minorEastAsia" w:hAnsiTheme="minorHAnsi"/>
        <w:sz w:val="3276"/>
        <w:szCs w:val="3276"/>
        <w:lang w:eastAsia="en-GB" w:bidi="ar-SA"/>
      </w:rPr>
      <w:fldChar w:fldCharType="separate"/>
    </w:r>
    <w:r w:rsidRPr="0047252D">
      <w:rPr>
        <w:rFonts w:ascii="Calibri" w:hAnsi="Calibri" w:cs="Calibri"/>
        <w:b/>
        <w:color w:val="F00000"/>
        <w:sz w:val="24"/>
      </w:rPr>
      <w:t>OFFICIAL</w:t>
    </w:r>
  </w:p>
  <w:p w14:paraId="385EA47E" w14:textId="62084167" w:rsidR="00336509" w:rsidRDefault="00DA4C04" w:rsidP="00A4343B">
    <w:pPr>
      <w:pStyle w:val="Header"/>
      <w:jc w:val="center"/>
      <w:rPr>
        <w:b/>
        <w:bCs/>
      </w:rPr>
    </w:pPr>
    <w:r w:rsidRPr="00F500B5">
      <w:rPr>
        <w:rFonts w:ascii="Calibri" w:eastAsiaTheme="majorEastAsia" w:hAnsi="Calibri" w:cs="Calibri"/>
        <w:b/>
        <w:color w:val="F00000"/>
        <w:sz w:val="24"/>
      </w:rPr>
      <w:t xml:space="preserve"> </w:t>
    </w:r>
    <w:r>
      <w:rPr>
        <w:rFonts w:eastAsiaTheme="majorEastAsia" w:cs="Arial"/>
      </w:rPr>
      <w:fldChar w:fldCharType="end"/>
    </w:r>
  </w:p>
  <w:p w14:paraId="051250BC" w14:textId="12E00CFB" w:rsidR="008E38EB" w:rsidRDefault="008E38EB">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axqUa85mxKUoX4" int2:id="lXKQcx3V">
      <int2:state int2:value="Rejected" int2:type="LegacyProofing"/>
    </int2:textHash>
    <int2:bookmark int2:bookmarkName="_Int_bIcQuzEX" int2:invalidationBookmarkName="" int2:hashCode="rdENQJkZCzhMEp" int2:id="XsdxNvo8">
      <int2:state int2:value="Rejected" int2:type="LegacyProofing"/>
    </int2:bookmark>
    <int2:bookmark int2:bookmarkName="_Int_6sCxtCFJ" int2:invalidationBookmarkName="" int2:hashCode="veKIG6E7Hl6lzN" int2:id="rIrbiMM7"/>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BDC78"/>
    <w:multiLevelType w:val="hybridMultilevel"/>
    <w:tmpl w:val="32000E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D10ED"/>
    <w:multiLevelType w:val="multilevel"/>
    <w:tmpl w:val="EA1234B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A1C1E"/>
    <w:multiLevelType w:val="hybridMultilevel"/>
    <w:tmpl w:val="106A04A4"/>
    <w:lvl w:ilvl="0" w:tplc="5574BAA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AB6B49"/>
    <w:multiLevelType w:val="hybridMultilevel"/>
    <w:tmpl w:val="5254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C574E"/>
    <w:multiLevelType w:val="hybridMultilevel"/>
    <w:tmpl w:val="4268E71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6054271"/>
    <w:multiLevelType w:val="hybridMultilevel"/>
    <w:tmpl w:val="03C4B1C2"/>
    <w:lvl w:ilvl="0" w:tplc="FDFEA674">
      <w:start w:val="1"/>
      <w:numFmt w:val="bullet"/>
      <w:pStyle w:val="FSBullet1"/>
      <w:lvlText w:val=""/>
      <w:lvlJc w:val="left"/>
      <w:pPr>
        <w:ind w:left="502" w:hanging="360"/>
      </w:pPr>
      <w:rPr>
        <w:rFonts w:ascii="Symbol" w:hAnsi="Symbol" w:hint="default"/>
      </w:rPr>
    </w:lvl>
    <w:lvl w:ilvl="1" w:tplc="F3FEDFE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B70E8"/>
    <w:multiLevelType w:val="multilevel"/>
    <w:tmpl w:val="68D87C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2213EF"/>
    <w:multiLevelType w:val="hybridMultilevel"/>
    <w:tmpl w:val="C4A8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38B24C0"/>
    <w:multiLevelType w:val="hybridMultilevel"/>
    <w:tmpl w:val="20E2C6FC"/>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7EE90BED"/>
    <w:multiLevelType w:val="hybridMultilevel"/>
    <w:tmpl w:val="83E2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960674">
    <w:abstractNumId w:val="6"/>
  </w:num>
  <w:num w:numId="2" w16cid:durableId="1171136890">
    <w:abstractNumId w:val="10"/>
  </w:num>
  <w:num w:numId="3" w16cid:durableId="687412423">
    <w:abstractNumId w:val="3"/>
  </w:num>
  <w:num w:numId="4" w16cid:durableId="1018583717">
    <w:abstractNumId w:val="1"/>
  </w:num>
  <w:num w:numId="5" w16cid:durableId="4672922">
    <w:abstractNumId w:val="7"/>
  </w:num>
  <w:num w:numId="6" w16cid:durableId="425349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95198">
    <w:abstractNumId w:val="0"/>
  </w:num>
  <w:num w:numId="8" w16cid:durableId="272789481">
    <w:abstractNumId w:val="4"/>
  </w:num>
  <w:num w:numId="9" w16cid:durableId="770592309">
    <w:abstractNumId w:val="2"/>
  </w:num>
  <w:num w:numId="10" w16cid:durableId="128861262">
    <w:abstractNumId w:val="13"/>
  </w:num>
  <w:num w:numId="11" w16cid:durableId="338047118">
    <w:abstractNumId w:val="9"/>
  </w:num>
  <w:num w:numId="12" w16cid:durableId="1531456058">
    <w:abstractNumId w:val="5"/>
  </w:num>
  <w:num w:numId="13" w16cid:durableId="1916235017">
    <w:abstractNumId w:val="8"/>
  </w:num>
  <w:num w:numId="14" w16cid:durableId="1043866719">
    <w:abstractNumId w:val="12"/>
  </w:num>
  <w:num w:numId="15" w16cid:durableId="46146561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42"/>
    <w:rsid w:val="00000939"/>
    <w:rsid w:val="00001CF2"/>
    <w:rsid w:val="00001EFB"/>
    <w:rsid w:val="0000247B"/>
    <w:rsid w:val="00002893"/>
    <w:rsid w:val="0000469B"/>
    <w:rsid w:val="00006E7F"/>
    <w:rsid w:val="00007399"/>
    <w:rsid w:val="000074C1"/>
    <w:rsid w:val="000108D6"/>
    <w:rsid w:val="00010C82"/>
    <w:rsid w:val="00011AE0"/>
    <w:rsid w:val="00011E33"/>
    <w:rsid w:val="00012724"/>
    <w:rsid w:val="00016F3A"/>
    <w:rsid w:val="000171D9"/>
    <w:rsid w:val="000176DA"/>
    <w:rsid w:val="00020A9C"/>
    <w:rsid w:val="00021608"/>
    <w:rsid w:val="000231FD"/>
    <w:rsid w:val="000241A1"/>
    <w:rsid w:val="00026234"/>
    <w:rsid w:val="00027F0D"/>
    <w:rsid w:val="0003056D"/>
    <w:rsid w:val="00033774"/>
    <w:rsid w:val="000346A6"/>
    <w:rsid w:val="00035FF3"/>
    <w:rsid w:val="0003640B"/>
    <w:rsid w:val="000373F3"/>
    <w:rsid w:val="00037924"/>
    <w:rsid w:val="0004269E"/>
    <w:rsid w:val="000438F0"/>
    <w:rsid w:val="00044EFC"/>
    <w:rsid w:val="0004527F"/>
    <w:rsid w:val="000457D7"/>
    <w:rsid w:val="00045F6D"/>
    <w:rsid w:val="00046666"/>
    <w:rsid w:val="00046A60"/>
    <w:rsid w:val="00050D9A"/>
    <w:rsid w:val="00051021"/>
    <w:rsid w:val="00051D57"/>
    <w:rsid w:val="00051ED9"/>
    <w:rsid w:val="000521BF"/>
    <w:rsid w:val="0005354D"/>
    <w:rsid w:val="00054900"/>
    <w:rsid w:val="0005714B"/>
    <w:rsid w:val="00057181"/>
    <w:rsid w:val="00057E22"/>
    <w:rsid w:val="00057FFC"/>
    <w:rsid w:val="00061A22"/>
    <w:rsid w:val="00061FC9"/>
    <w:rsid w:val="0006473A"/>
    <w:rsid w:val="00064B2D"/>
    <w:rsid w:val="00065F1F"/>
    <w:rsid w:val="0007059F"/>
    <w:rsid w:val="0007122A"/>
    <w:rsid w:val="000715AF"/>
    <w:rsid w:val="000719EF"/>
    <w:rsid w:val="00076D33"/>
    <w:rsid w:val="00081256"/>
    <w:rsid w:val="000862CF"/>
    <w:rsid w:val="00086C13"/>
    <w:rsid w:val="00086F0A"/>
    <w:rsid w:val="00087082"/>
    <w:rsid w:val="00087E85"/>
    <w:rsid w:val="00090CD3"/>
    <w:rsid w:val="00092CDA"/>
    <w:rsid w:val="00093FA8"/>
    <w:rsid w:val="000947D4"/>
    <w:rsid w:val="00095949"/>
    <w:rsid w:val="0009675B"/>
    <w:rsid w:val="000A0F6C"/>
    <w:rsid w:val="000A1D9E"/>
    <w:rsid w:val="000A27E9"/>
    <w:rsid w:val="000A2F62"/>
    <w:rsid w:val="000A3D8B"/>
    <w:rsid w:val="000A5DF8"/>
    <w:rsid w:val="000A6104"/>
    <w:rsid w:val="000A6BA0"/>
    <w:rsid w:val="000A78B0"/>
    <w:rsid w:val="000B17B1"/>
    <w:rsid w:val="000B17CE"/>
    <w:rsid w:val="000B2075"/>
    <w:rsid w:val="000B23C3"/>
    <w:rsid w:val="000B31D8"/>
    <w:rsid w:val="000B34C6"/>
    <w:rsid w:val="000B35F2"/>
    <w:rsid w:val="000B559F"/>
    <w:rsid w:val="000B6AF2"/>
    <w:rsid w:val="000B78C2"/>
    <w:rsid w:val="000B7996"/>
    <w:rsid w:val="000B7D7D"/>
    <w:rsid w:val="000C08BC"/>
    <w:rsid w:val="000C192D"/>
    <w:rsid w:val="000C2D7D"/>
    <w:rsid w:val="000C3D3D"/>
    <w:rsid w:val="000C5955"/>
    <w:rsid w:val="000C6666"/>
    <w:rsid w:val="000C68EE"/>
    <w:rsid w:val="000D037C"/>
    <w:rsid w:val="000D09F5"/>
    <w:rsid w:val="000D1233"/>
    <w:rsid w:val="000D2331"/>
    <w:rsid w:val="000D31F2"/>
    <w:rsid w:val="000D4546"/>
    <w:rsid w:val="000D5557"/>
    <w:rsid w:val="000D6FD4"/>
    <w:rsid w:val="000E02CF"/>
    <w:rsid w:val="000E0AE4"/>
    <w:rsid w:val="000E0BCA"/>
    <w:rsid w:val="000E242A"/>
    <w:rsid w:val="000E38C6"/>
    <w:rsid w:val="000E3DBC"/>
    <w:rsid w:val="000E6453"/>
    <w:rsid w:val="000E7224"/>
    <w:rsid w:val="000F0401"/>
    <w:rsid w:val="000F1A67"/>
    <w:rsid w:val="000F2933"/>
    <w:rsid w:val="000F2954"/>
    <w:rsid w:val="000F31EB"/>
    <w:rsid w:val="000F3591"/>
    <w:rsid w:val="000F3996"/>
    <w:rsid w:val="000F4004"/>
    <w:rsid w:val="000F49C5"/>
    <w:rsid w:val="000F618A"/>
    <w:rsid w:val="000F7F61"/>
    <w:rsid w:val="00101C19"/>
    <w:rsid w:val="00101C9B"/>
    <w:rsid w:val="00102B03"/>
    <w:rsid w:val="00103758"/>
    <w:rsid w:val="00104256"/>
    <w:rsid w:val="00105064"/>
    <w:rsid w:val="00105B77"/>
    <w:rsid w:val="00107DC2"/>
    <w:rsid w:val="0011051B"/>
    <w:rsid w:val="001105D4"/>
    <w:rsid w:val="001108E6"/>
    <w:rsid w:val="00110BD9"/>
    <w:rsid w:val="00110E33"/>
    <w:rsid w:val="001117F2"/>
    <w:rsid w:val="00112528"/>
    <w:rsid w:val="001129FA"/>
    <w:rsid w:val="001137E3"/>
    <w:rsid w:val="00113CAB"/>
    <w:rsid w:val="00113CE3"/>
    <w:rsid w:val="001140CF"/>
    <w:rsid w:val="00116217"/>
    <w:rsid w:val="00117522"/>
    <w:rsid w:val="001201E1"/>
    <w:rsid w:val="00121190"/>
    <w:rsid w:val="00122206"/>
    <w:rsid w:val="00122BD3"/>
    <w:rsid w:val="00122EDB"/>
    <w:rsid w:val="00124382"/>
    <w:rsid w:val="0012486C"/>
    <w:rsid w:val="00126CC9"/>
    <w:rsid w:val="0013117D"/>
    <w:rsid w:val="00131511"/>
    <w:rsid w:val="00131D1F"/>
    <w:rsid w:val="00132CDE"/>
    <w:rsid w:val="0013432D"/>
    <w:rsid w:val="00134DE8"/>
    <w:rsid w:val="00135E94"/>
    <w:rsid w:val="00135FD2"/>
    <w:rsid w:val="00136403"/>
    <w:rsid w:val="00136697"/>
    <w:rsid w:val="00136983"/>
    <w:rsid w:val="00145622"/>
    <w:rsid w:val="00145653"/>
    <w:rsid w:val="00146A5D"/>
    <w:rsid w:val="001471FC"/>
    <w:rsid w:val="00150476"/>
    <w:rsid w:val="0015086F"/>
    <w:rsid w:val="00151FC6"/>
    <w:rsid w:val="0015249A"/>
    <w:rsid w:val="00153EAC"/>
    <w:rsid w:val="001542D8"/>
    <w:rsid w:val="00154FA4"/>
    <w:rsid w:val="00157784"/>
    <w:rsid w:val="001579D5"/>
    <w:rsid w:val="001633B2"/>
    <w:rsid w:val="001637DF"/>
    <w:rsid w:val="00163FE4"/>
    <w:rsid w:val="001655B4"/>
    <w:rsid w:val="00165D2F"/>
    <w:rsid w:val="00166CCE"/>
    <w:rsid w:val="00166F71"/>
    <w:rsid w:val="00167C06"/>
    <w:rsid w:val="00172385"/>
    <w:rsid w:val="00172DD3"/>
    <w:rsid w:val="00173D89"/>
    <w:rsid w:val="00175BC9"/>
    <w:rsid w:val="00175F1B"/>
    <w:rsid w:val="00180020"/>
    <w:rsid w:val="00180C41"/>
    <w:rsid w:val="00182652"/>
    <w:rsid w:val="00182C4C"/>
    <w:rsid w:val="0018786E"/>
    <w:rsid w:val="00187C2B"/>
    <w:rsid w:val="00187F3E"/>
    <w:rsid w:val="00190700"/>
    <w:rsid w:val="00192797"/>
    <w:rsid w:val="00194DC3"/>
    <w:rsid w:val="0019527E"/>
    <w:rsid w:val="00197450"/>
    <w:rsid w:val="00197D8D"/>
    <w:rsid w:val="001A077E"/>
    <w:rsid w:val="001A0F7A"/>
    <w:rsid w:val="001A1A75"/>
    <w:rsid w:val="001A1B2A"/>
    <w:rsid w:val="001A1C83"/>
    <w:rsid w:val="001A2323"/>
    <w:rsid w:val="001A2697"/>
    <w:rsid w:val="001A317E"/>
    <w:rsid w:val="001A42A7"/>
    <w:rsid w:val="001A61E7"/>
    <w:rsid w:val="001A6775"/>
    <w:rsid w:val="001A68E4"/>
    <w:rsid w:val="001A6C2D"/>
    <w:rsid w:val="001A7E9A"/>
    <w:rsid w:val="001B0785"/>
    <w:rsid w:val="001B0B27"/>
    <w:rsid w:val="001B0DC6"/>
    <w:rsid w:val="001B1375"/>
    <w:rsid w:val="001B13A2"/>
    <w:rsid w:val="001B40A7"/>
    <w:rsid w:val="001B6233"/>
    <w:rsid w:val="001B7F67"/>
    <w:rsid w:val="001C17FC"/>
    <w:rsid w:val="001C1A84"/>
    <w:rsid w:val="001C27A3"/>
    <w:rsid w:val="001C5295"/>
    <w:rsid w:val="001C61AD"/>
    <w:rsid w:val="001C7ACC"/>
    <w:rsid w:val="001D0376"/>
    <w:rsid w:val="001D4A43"/>
    <w:rsid w:val="001D4BD2"/>
    <w:rsid w:val="001D6226"/>
    <w:rsid w:val="001D75DD"/>
    <w:rsid w:val="001E09FA"/>
    <w:rsid w:val="001E0B5C"/>
    <w:rsid w:val="001E5E8B"/>
    <w:rsid w:val="001E735D"/>
    <w:rsid w:val="001E7C9C"/>
    <w:rsid w:val="001F006F"/>
    <w:rsid w:val="001F1E77"/>
    <w:rsid w:val="001F29E6"/>
    <w:rsid w:val="001F2F36"/>
    <w:rsid w:val="001F3B0E"/>
    <w:rsid w:val="001F4ED0"/>
    <w:rsid w:val="001F52B2"/>
    <w:rsid w:val="001F7016"/>
    <w:rsid w:val="001F7FB7"/>
    <w:rsid w:val="00201934"/>
    <w:rsid w:val="00202070"/>
    <w:rsid w:val="00203540"/>
    <w:rsid w:val="0020378B"/>
    <w:rsid w:val="002041A1"/>
    <w:rsid w:val="0020461B"/>
    <w:rsid w:val="00205987"/>
    <w:rsid w:val="00205B03"/>
    <w:rsid w:val="00210079"/>
    <w:rsid w:val="00210277"/>
    <w:rsid w:val="00210710"/>
    <w:rsid w:val="00210AC6"/>
    <w:rsid w:val="00210CF8"/>
    <w:rsid w:val="00212EA9"/>
    <w:rsid w:val="00213904"/>
    <w:rsid w:val="0021612B"/>
    <w:rsid w:val="0022083A"/>
    <w:rsid w:val="00221D07"/>
    <w:rsid w:val="002221B0"/>
    <w:rsid w:val="002225E9"/>
    <w:rsid w:val="00222ABF"/>
    <w:rsid w:val="00222CD2"/>
    <w:rsid w:val="00222DC5"/>
    <w:rsid w:val="00223428"/>
    <w:rsid w:val="00223AE9"/>
    <w:rsid w:val="00227E4A"/>
    <w:rsid w:val="0023580D"/>
    <w:rsid w:val="00235B2F"/>
    <w:rsid w:val="00236208"/>
    <w:rsid w:val="00236220"/>
    <w:rsid w:val="00236867"/>
    <w:rsid w:val="00236F5A"/>
    <w:rsid w:val="00237078"/>
    <w:rsid w:val="00237082"/>
    <w:rsid w:val="00237299"/>
    <w:rsid w:val="0023743B"/>
    <w:rsid w:val="00237A9A"/>
    <w:rsid w:val="00237AE8"/>
    <w:rsid w:val="00240E17"/>
    <w:rsid w:val="002415C3"/>
    <w:rsid w:val="00242175"/>
    <w:rsid w:val="002432EC"/>
    <w:rsid w:val="00243C74"/>
    <w:rsid w:val="0024550B"/>
    <w:rsid w:val="0024582E"/>
    <w:rsid w:val="00245C56"/>
    <w:rsid w:val="00250733"/>
    <w:rsid w:val="00252E0B"/>
    <w:rsid w:val="00253DBD"/>
    <w:rsid w:val="00254091"/>
    <w:rsid w:val="002547EF"/>
    <w:rsid w:val="00256576"/>
    <w:rsid w:val="00256D65"/>
    <w:rsid w:val="00257D6B"/>
    <w:rsid w:val="00260E2D"/>
    <w:rsid w:val="0026112D"/>
    <w:rsid w:val="00262E26"/>
    <w:rsid w:val="0026410B"/>
    <w:rsid w:val="00264472"/>
    <w:rsid w:val="00266039"/>
    <w:rsid w:val="00266338"/>
    <w:rsid w:val="0026636B"/>
    <w:rsid w:val="00266CCD"/>
    <w:rsid w:val="00267D1A"/>
    <w:rsid w:val="00267EE5"/>
    <w:rsid w:val="00271F00"/>
    <w:rsid w:val="00273A80"/>
    <w:rsid w:val="00273EB7"/>
    <w:rsid w:val="00274377"/>
    <w:rsid w:val="002744B0"/>
    <w:rsid w:val="00275710"/>
    <w:rsid w:val="00276EC2"/>
    <w:rsid w:val="0027781F"/>
    <w:rsid w:val="00280024"/>
    <w:rsid w:val="00280622"/>
    <w:rsid w:val="00280873"/>
    <w:rsid w:val="00280955"/>
    <w:rsid w:val="00281ACE"/>
    <w:rsid w:val="00282A85"/>
    <w:rsid w:val="002848A5"/>
    <w:rsid w:val="0028736E"/>
    <w:rsid w:val="00287AF2"/>
    <w:rsid w:val="00287D91"/>
    <w:rsid w:val="00291661"/>
    <w:rsid w:val="0029204E"/>
    <w:rsid w:val="00293299"/>
    <w:rsid w:val="0029376F"/>
    <w:rsid w:val="00294EF9"/>
    <w:rsid w:val="00295085"/>
    <w:rsid w:val="0029631C"/>
    <w:rsid w:val="00297211"/>
    <w:rsid w:val="002A00EE"/>
    <w:rsid w:val="002A0194"/>
    <w:rsid w:val="002A272E"/>
    <w:rsid w:val="002A27D4"/>
    <w:rsid w:val="002A2CD8"/>
    <w:rsid w:val="002A2E36"/>
    <w:rsid w:val="002A3314"/>
    <w:rsid w:val="002A3F5A"/>
    <w:rsid w:val="002A5F8B"/>
    <w:rsid w:val="002A629A"/>
    <w:rsid w:val="002A65AF"/>
    <w:rsid w:val="002A71B5"/>
    <w:rsid w:val="002A7203"/>
    <w:rsid w:val="002A74CF"/>
    <w:rsid w:val="002A7F6C"/>
    <w:rsid w:val="002B5353"/>
    <w:rsid w:val="002B5AE0"/>
    <w:rsid w:val="002B5D81"/>
    <w:rsid w:val="002B6F45"/>
    <w:rsid w:val="002B72B4"/>
    <w:rsid w:val="002B79A8"/>
    <w:rsid w:val="002C15C2"/>
    <w:rsid w:val="002C4AEC"/>
    <w:rsid w:val="002C4ED7"/>
    <w:rsid w:val="002C57BF"/>
    <w:rsid w:val="002C589F"/>
    <w:rsid w:val="002C5C27"/>
    <w:rsid w:val="002C6A19"/>
    <w:rsid w:val="002D1ECC"/>
    <w:rsid w:val="002D21C5"/>
    <w:rsid w:val="002D365C"/>
    <w:rsid w:val="002D58E2"/>
    <w:rsid w:val="002D61CA"/>
    <w:rsid w:val="002D6809"/>
    <w:rsid w:val="002E1BF1"/>
    <w:rsid w:val="002E1D7B"/>
    <w:rsid w:val="002E1DBC"/>
    <w:rsid w:val="002E318E"/>
    <w:rsid w:val="002E3478"/>
    <w:rsid w:val="002E465B"/>
    <w:rsid w:val="002E7AB1"/>
    <w:rsid w:val="002F0472"/>
    <w:rsid w:val="002F0868"/>
    <w:rsid w:val="002F0ADE"/>
    <w:rsid w:val="002F1105"/>
    <w:rsid w:val="002F3CB4"/>
    <w:rsid w:val="002F6488"/>
    <w:rsid w:val="002F6E2B"/>
    <w:rsid w:val="002F76E5"/>
    <w:rsid w:val="003008ED"/>
    <w:rsid w:val="00300A30"/>
    <w:rsid w:val="00300AD1"/>
    <w:rsid w:val="003043E0"/>
    <w:rsid w:val="00304B89"/>
    <w:rsid w:val="0030501D"/>
    <w:rsid w:val="003072DD"/>
    <w:rsid w:val="0030773E"/>
    <w:rsid w:val="00310967"/>
    <w:rsid w:val="00310B4D"/>
    <w:rsid w:val="0031125B"/>
    <w:rsid w:val="00311605"/>
    <w:rsid w:val="00311E31"/>
    <w:rsid w:val="00314107"/>
    <w:rsid w:val="003157FF"/>
    <w:rsid w:val="00317F0D"/>
    <w:rsid w:val="00320839"/>
    <w:rsid w:val="003213F9"/>
    <w:rsid w:val="00323966"/>
    <w:rsid w:val="00323DBF"/>
    <w:rsid w:val="00323FA4"/>
    <w:rsid w:val="00326795"/>
    <w:rsid w:val="00326C8D"/>
    <w:rsid w:val="00326D85"/>
    <w:rsid w:val="00327CCC"/>
    <w:rsid w:val="00330941"/>
    <w:rsid w:val="003309A8"/>
    <w:rsid w:val="00330AA2"/>
    <w:rsid w:val="00331A87"/>
    <w:rsid w:val="00332B12"/>
    <w:rsid w:val="00334086"/>
    <w:rsid w:val="003346D1"/>
    <w:rsid w:val="003355C0"/>
    <w:rsid w:val="00336509"/>
    <w:rsid w:val="00336855"/>
    <w:rsid w:val="003368CA"/>
    <w:rsid w:val="00340D8C"/>
    <w:rsid w:val="00342A17"/>
    <w:rsid w:val="00343088"/>
    <w:rsid w:val="003440C7"/>
    <w:rsid w:val="0034702D"/>
    <w:rsid w:val="003479EC"/>
    <w:rsid w:val="00347AE3"/>
    <w:rsid w:val="00347BC8"/>
    <w:rsid w:val="00347E6D"/>
    <w:rsid w:val="003519E0"/>
    <w:rsid w:val="00351B07"/>
    <w:rsid w:val="00351C35"/>
    <w:rsid w:val="00352842"/>
    <w:rsid w:val="00352CF2"/>
    <w:rsid w:val="00352D60"/>
    <w:rsid w:val="00353959"/>
    <w:rsid w:val="00354525"/>
    <w:rsid w:val="00357A71"/>
    <w:rsid w:val="00357B8B"/>
    <w:rsid w:val="00361C99"/>
    <w:rsid w:val="0036363D"/>
    <w:rsid w:val="003644A8"/>
    <w:rsid w:val="00364841"/>
    <w:rsid w:val="00364BE0"/>
    <w:rsid w:val="00367AF3"/>
    <w:rsid w:val="00371B29"/>
    <w:rsid w:val="003748F4"/>
    <w:rsid w:val="00374A18"/>
    <w:rsid w:val="00375F5E"/>
    <w:rsid w:val="00376076"/>
    <w:rsid w:val="0037656B"/>
    <w:rsid w:val="00376E52"/>
    <w:rsid w:val="00376FBE"/>
    <w:rsid w:val="00377E41"/>
    <w:rsid w:val="00381369"/>
    <w:rsid w:val="00382AA6"/>
    <w:rsid w:val="00386E82"/>
    <w:rsid w:val="0038777F"/>
    <w:rsid w:val="0039060D"/>
    <w:rsid w:val="003916CE"/>
    <w:rsid w:val="00391769"/>
    <w:rsid w:val="00391AB6"/>
    <w:rsid w:val="00392870"/>
    <w:rsid w:val="00392BE0"/>
    <w:rsid w:val="0039495E"/>
    <w:rsid w:val="003953E1"/>
    <w:rsid w:val="003956B3"/>
    <w:rsid w:val="00396B6C"/>
    <w:rsid w:val="003A140A"/>
    <w:rsid w:val="003A3694"/>
    <w:rsid w:val="003A55CC"/>
    <w:rsid w:val="003A5C5B"/>
    <w:rsid w:val="003A6143"/>
    <w:rsid w:val="003A68BE"/>
    <w:rsid w:val="003A76BE"/>
    <w:rsid w:val="003A7797"/>
    <w:rsid w:val="003A77C9"/>
    <w:rsid w:val="003A7C54"/>
    <w:rsid w:val="003B036B"/>
    <w:rsid w:val="003B065E"/>
    <w:rsid w:val="003B0BCB"/>
    <w:rsid w:val="003B1805"/>
    <w:rsid w:val="003B23CE"/>
    <w:rsid w:val="003B3C9D"/>
    <w:rsid w:val="003B3CCF"/>
    <w:rsid w:val="003B459A"/>
    <w:rsid w:val="003B4639"/>
    <w:rsid w:val="003B4E71"/>
    <w:rsid w:val="003B54A9"/>
    <w:rsid w:val="003B6D42"/>
    <w:rsid w:val="003B78E0"/>
    <w:rsid w:val="003B7CC7"/>
    <w:rsid w:val="003C0313"/>
    <w:rsid w:val="003C3B42"/>
    <w:rsid w:val="003C4969"/>
    <w:rsid w:val="003C55D2"/>
    <w:rsid w:val="003C61AB"/>
    <w:rsid w:val="003C67A8"/>
    <w:rsid w:val="003C6839"/>
    <w:rsid w:val="003D0B42"/>
    <w:rsid w:val="003D12D3"/>
    <w:rsid w:val="003D2741"/>
    <w:rsid w:val="003D32E1"/>
    <w:rsid w:val="003D5409"/>
    <w:rsid w:val="003D5A91"/>
    <w:rsid w:val="003E09AD"/>
    <w:rsid w:val="003E0EEC"/>
    <w:rsid w:val="003E1F6E"/>
    <w:rsid w:val="003E41D5"/>
    <w:rsid w:val="003E46BA"/>
    <w:rsid w:val="003E473F"/>
    <w:rsid w:val="003E5258"/>
    <w:rsid w:val="003E6128"/>
    <w:rsid w:val="003E612B"/>
    <w:rsid w:val="003E7A88"/>
    <w:rsid w:val="003E7D22"/>
    <w:rsid w:val="003E7F5E"/>
    <w:rsid w:val="003F08EE"/>
    <w:rsid w:val="003F0BC7"/>
    <w:rsid w:val="003F2AF7"/>
    <w:rsid w:val="003F3355"/>
    <w:rsid w:val="003F457A"/>
    <w:rsid w:val="003F4BE2"/>
    <w:rsid w:val="003F63B2"/>
    <w:rsid w:val="003F74C1"/>
    <w:rsid w:val="004013E7"/>
    <w:rsid w:val="0040204A"/>
    <w:rsid w:val="00404773"/>
    <w:rsid w:val="004054A5"/>
    <w:rsid w:val="00405B1A"/>
    <w:rsid w:val="004065AA"/>
    <w:rsid w:val="00406748"/>
    <w:rsid w:val="004075D5"/>
    <w:rsid w:val="00407CD3"/>
    <w:rsid w:val="00410065"/>
    <w:rsid w:val="00410194"/>
    <w:rsid w:val="00410C76"/>
    <w:rsid w:val="004113E7"/>
    <w:rsid w:val="00411907"/>
    <w:rsid w:val="00411BF4"/>
    <w:rsid w:val="004122BC"/>
    <w:rsid w:val="004135BB"/>
    <w:rsid w:val="00413CA8"/>
    <w:rsid w:val="00417CD1"/>
    <w:rsid w:val="00417EE3"/>
    <w:rsid w:val="004207EB"/>
    <w:rsid w:val="00423BF1"/>
    <w:rsid w:val="0042431F"/>
    <w:rsid w:val="00424328"/>
    <w:rsid w:val="00424652"/>
    <w:rsid w:val="004252FE"/>
    <w:rsid w:val="004254CD"/>
    <w:rsid w:val="004273FB"/>
    <w:rsid w:val="00427E0F"/>
    <w:rsid w:val="00430707"/>
    <w:rsid w:val="004331DF"/>
    <w:rsid w:val="00436F91"/>
    <w:rsid w:val="00437276"/>
    <w:rsid w:val="00440A6C"/>
    <w:rsid w:val="00442278"/>
    <w:rsid w:val="00445138"/>
    <w:rsid w:val="00445721"/>
    <w:rsid w:val="00446F8B"/>
    <w:rsid w:val="0044707B"/>
    <w:rsid w:val="00447FDD"/>
    <w:rsid w:val="00450496"/>
    <w:rsid w:val="004507FD"/>
    <w:rsid w:val="00451FCB"/>
    <w:rsid w:val="0045676A"/>
    <w:rsid w:val="00456B54"/>
    <w:rsid w:val="00460B67"/>
    <w:rsid w:val="004617C7"/>
    <w:rsid w:val="00463A21"/>
    <w:rsid w:val="00463BEA"/>
    <w:rsid w:val="00464643"/>
    <w:rsid w:val="00464658"/>
    <w:rsid w:val="00464869"/>
    <w:rsid w:val="00465C6C"/>
    <w:rsid w:val="0047036B"/>
    <w:rsid w:val="00470C78"/>
    <w:rsid w:val="0047197B"/>
    <w:rsid w:val="0047252D"/>
    <w:rsid w:val="004733F3"/>
    <w:rsid w:val="00473978"/>
    <w:rsid w:val="004757B0"/>
    <w:rsid w:val="0047602D"/>
    <w:rsid w:val="004761B2"/>
    <w:rsid w:val="00476453"/>
    <w:rsid w:val="0048145C"/>
    <w:rsid w:val="00481CDC"/>
    <w:rsid w:val="004835B5"/>
    <w:rsid w:val="0048573C"/>
    <w:rsid w:val="00485C73"/>
    <w:rsid w:val="00486755"/>
    <w:rsid w:val="00486793"/>
    <w:rsid w:val="00486F68"/>
    <w:rsid w:val="00487C87"/>
    <w:rsid w:val="00491A91"/>
    <w:rsid w:val="00493982"/>
    <w:rsid w:val="004979F0"/>
    <w:rsid w:val="004A1DA7"/>
    <w:rsid w:val="004A2037"/>
    <w:rsid w:val="004A464B"/>
    <w:rsid w:val="004A5344"/>
    <w:rsid w:val="004A5345"/>
    <w:rsid w:val="004A540F"/>
    <w:rsid w:val="004A63CA"/>
    <w:rsid w:val="004A6FD4"/>
    <w:rsid w:val="004A713D"/>
    <w:rsid w:val="004A7199"/>
    <w:rsid w:val="004B05DC"/>
    <w:rsid w:val="004B266D"/>
    <w:rsid w:val="004B2E8D"/>
    <w:rsid w:val="004B3575"/>
    <w:rsid w:val="004B579B"/>
    <w:rsid w:val="004B6C39"/>
    <w:rsid w:val="004C2CE7"/>
    <w:rsid w:val="004C45B3"/>
    <w:rsid w:val="004C69D3"/>
    <w:rsid w:val="004C6AA0"/>
    <w:rsid w:val="004D28F8"/>
    <w:rsid w:val="004D471B"/>
    <w:rsid w:val="004D4B3E"/>
    <w:rsid w:val="004D559B"/>
    <w:rsid w:val="004D69CD"/>
    <w:rsid w:val="004D6D35"/>
    <w:rsid w:val="004D7314"/>
    <w:rsid w:val="004E2518"/>
    <w:rsid w:val="004E3453"/>
    <w:rsid w:val="004E4323"/>
    <w:rsid w:val="004E6135"/>
    <w:rsid w:val="004F0817"/>
    <w:rsid w:val="004F0BFF"/>
    <w:rsid w:val="004F3C53"/>
    <w:rsid w:val="004F4037"/>
    <w:rsid w:val="004F4F98"/>
    <w:rsid w:val="004F59D9"/>
    <w:rsid w:val="004F69F6"/>
    <w:rsid w:val="004F6E02"/>
    <w:rsid w:val="004F79AC"/>
    <w:rsid w:val="005001F3"/>
    <w:rsid w:val="00500802"/>
    <w:rsid w:val="005008FB"/>
    <w:rsid w:val="005017CF"/>
    <w:rsid w:val="005035EF"/>
    <w:rsid w:val="0050411B"/>
    <w:rsid w:val="005059D1"/>
    <w:rsid w:val="00505E51"/>
    <w:rsid w:val="005120F9"/>
    <w:rsid w:val="00512791"/>
    <w:rsid w:val="005136CD"/>
    <w:rsid w:val="005137D4"/>
    <w:rsid w:val="00513F53"/>
    <w:rsid w:val="0051423D"/>
    <w:rsid w:val="005207D8"/>
    <w:rsid w:val="00522221"/>
    <w:rsid w:val="00523625"/>
    <w:rsid w:val="00523D70"/>
    <w:rsid w:val="00524E33"/>
    <w:rsid w:val="00525369"/>
    <w:rsid w:val="00525E48"/>
    <w:rsid w:val="005268F9"/>
    <w:rsid w:val="00526BAF"/>
    <w:rsid w:val="00526C7A"/>
    <w:rsid w:val="005303EE"/>
    <w:rsid w:val="00530ED3"/>
    <w:rsid w:val="005312B2"/>
    <w:rsid w:val="005345A3"/>
    <w:rsid w:val="0053464E"/>
    <w:rsid w:val="00535F50"/>
    <w:rsid w:val="00536FD2"/>
    <w:rsid w:val="0053792D"/>
    <w:rsid w:val="00540184"/>
    <w:rsid w:val="005406F3"/>
    <w:rsid w:val="00540C62"/>
    <w:rsid w:val="0054272D"/>
    <w:rsid w:val="00542E40"/>
    <w:rsid w:val="005445F0"/>
    <w:rsid w:val="0054482B"/>
    <w:rsid w:val="00546ACD"/>
    <w:rsid w:val="0054719A"/>
    <w:rsid w:val="005501BD"/>
    <w:rsid w:val="00551915"/>
    <w:rsid w:val="005578DE"/>
    <w:rsid w:val="005606B6"/>
    <w:rsid w:val="00562917"/>
    <w:rsid w:val="00563080"/>
    <w:rsid w:val="005631BC"/>
    <w:rsid w:val="00564761"/>
    <w:rsid w:val="0056660B"/>
    <w:rsid w:val="005702E4"/>
    <w:rsid w:val="005717BC"/>
    <w:rsid w:val="00572896"/>
    <w:rsid w:val="005734E6"/>
    <w:rsid w:val="005736DB"/>
    <w:rsid w:val="005759F4"/>
    <w:rsid w:val="0057615C"/>
    <w:rsid w:val="005762CB"/>
    <w:rsid w:val="005766FC"/>
    <w:rsid w:val="00576995"/>
    <w:rsid w:val="00580A02"/>
    <w:rsid w:val="0058128B"/>
    <w:rsid w:val="0058230E"/>
    <w:rsid w:val="00582466"/>
    <w:rsid w:val="005825E3"/>
    <w:rsid w:val="00582E95"/>
    <w:rsid w:val="00583877"/>
    <w:rsid w:val="00583BB2"/>
    <w:rsid w:val="00584CE5"/>
    <w:rsid w:val="00585D19"/>
    <w:rsid w:val="00586149"/>
    <w:rsid w:val="00586228"/>
    <w:rsid w:val="005872E1"/>
    <w:rsid w:val="00587EBB"/>
    <w:rsid w:val="00592A3A"/>
    <w:rsid w:val="0059304D"/>
    <w:rsid w:val="0059341B"/>
    <w:rsid w:val="00593E21"/>
    <w:rsid w:val="0059486B"/>
    <w:rsid w:val="00594E9A"/>
    <w:rsid w:val="00595849"/>
    <w:rsid w:val="005960F5"/>
    <w:rsid w:val="00597B0F"/>
    <w:rsid w:val="005A02D7"/>
    <w:rsid w:val="005A04BF"/>
    <w:rsid w:val="005A1A07"/>
    <w:rsid w:val="005A1D97"/>
    <w:rsid w:val="005A2DA6"/>
    <w:rsid w:val="005A33AA"/>
    <w:rsid w:val="005A3B34"/>
    <w:rsid w:val="005A400B"/>
    <w:rsid w:val="005A58F3"/>
    <w:rsid w:val="005A7A23"/>
    <w:rsid w:val="005B0115"/>
    <w:rsid w:val="005B14B1"/>
    <w:rsid w:val="005B17BB"/>
    <w:rsid w:val="005B2F6C"/>
    <w:rsid w:val="005B3D4E"/>
    <w:rsid w:val="005B4142"/>
    <w:rsid w:val="005B44D2"/>
    <w:rsid w:val="005B6171"/>
    <w:rsid w:val="005B6AF4"/>
    <w:rsid w:val="005B7725"/>
    <w:rsid w:val="005B79A6"/>
    <w:rsid w:val="005B7A73"/>
    <w:rsid w:val="005C04CB"/>
    <w:rsid w:val="005C0D29"/>
    <w:rsid w:val="005C46D3"/>
    <w:rsid w:val="005C568A"/>
    <w:rsid w:val="005C5D69"/>
    <w:rsid w:val="005C6D97"/>
    <w:rsid w:val="005D099A"/>
    <w:rsid w:val="005D1303"/>
    <w:rsid w:val="005D16AD"/>
    <w:rsid w:val="005D1C8C"/>
    <w:rsid w:val="005D2126"/>
    <w:rsid w:val="005D2243"/>
    <w:rsid w:val="005D5B26"/>
    <w:rsid w:val="005D61F1"/>
    <w:rsid w:val="005D6EEB"/>
    <w:rsid w:val="005D6FDF"/>
    <w:rsid w:val="005D72E1"/>
    <w:rsid w:val="005D7B53"/>
    <w:rsid w:val="005E0102"/>
    <w:rsid w:val="005E0A4F"/>
    <w:rsid w:val="005E113A"/>
    <w:rsid w:val="005E3096"/>
    <w:rsid w:val="005E30A2"/>
    <w:rsid w:val="005E33B4"/>
    <w:rsid w:val="005E3EC4"/>
    <w:rsid w:val="005E6E16"/>
    <w:rsid w:val="005F0120"/>
    <w:rsid w:val="005F01DE"/>
    <w:rsid w:val="005F23C0"/>
    <w:rsid w:val="005F400E"/>
    <w:rsid w:val="005F4C96"/>
    <w:rsid w:val="005F7342"/>
    <w:rsid w:val="005F754F"/>
    <w:rsid w:val="00601A77"/>
    <w:rsid w:val="00601CFE"/>
    <w:rsid w:val="00602125"/>
    <w:rsid w:val="00602209"/>
    <w:rsid w:val="00603A08"/>
    <w:rsid w:val="006046B9"/>
    <w:rsid w:val="006053BB"/>
    <w:rsid w:val="00607F48"/>
    <w:rsid w:val="006102BC"/>
    <w:rsid w:val="006103A5"/>
    <w:rsid w:val="00610A3C"/>
    <w:rsid w:val="00611864"/>
    <w:rsid w:val="00611B93"/>
    <w:rsid w:val="0061281E"/>
    <w:rsid w:val="0061443A"/>
    <w:rsid w:val="0061451B"/>
    <w:rsid w:val="006145C9"/>
    <w:rsid w:val="00614F91"/>
    <w:rsid w:val="00616530"/>
    <w:rsid w:val="00620205"/>
    <w:rsid w:val="00621072"/>
    <w:rsid w:val="00621339"/>
    <w:rsid w:val="00621404"/>
    <w:rsid w:val="00621572"/>
    <w:rsid w:val="00621586"/>
    <w:rsid w:val="00621C6F"/>
    <w:rsid w:val="006229F7"/>
    <w:rsid w:val="0062340B"/>
    <w:rsid w:val="00623A0A"/>
    <w:rsid w:val="00626D65"/>
    <w:rsid w:val="00627F48"/>
    <w:rsid w:val="006306B7"/>
    <w:rsid w:val="00630C23"/>
    <w:rsid w:val="0063183B"/>
    <w:rsid w:val="00632129"/>
    <w:rsid w:val="00632C1E"/>
    <w:rsid w:val="006354FB"/>
    <w:rsid w:val="00635635"/>
    <w:rsid w:val="00635CAD"/>
    <w:rsid w:val="006410E5"/>
    <w:rsid w:val="00642E4D"/>
    <w:rsid w:val="00644D3B"/>
    <w:rsid w:val="00645AEF"/>
    <w:rsid w:val="00645F83"/>
    <w:rsid w:val="006460AB"/>
    <w:rsid w:val="006476E1"/>
    <w:rsid w:val="0065019F"/>
    <w:rsid w:val="00652C90"/>
    <w:rsid w:val="0065362D"/>
    <w:rsid w:val="0065531B"/>
    <w:rsid w:val="006562CE"/>
    <w:rsid w:val="00660508"/>
    <w:rsid w:val="00661AE3"/>
    <w:rsid w:val="00661D41"/>
    <w:rsid w:val="006620FA"/>
    <w:rsid w:val="00663FCF"/>
    <w:rsid w:val="006652A2"/>
    <w:rsid w:val="00667176"/>
    <w:rsid w:val="0066721B"/>
    <w:rsid w:val="00670301"/>
    <w:rsid w:val="00672A51"/>
    <w:rsid w:val="00672E4D"/>
    <w:rsid w:val="0067321A"/>
    <w:rsid w:val="00673720"/>
    <w:rsid w:val="00674327"/>
    <w:rsid w:val="00675292"/>
    <w:rsid w:val="0067794A"/>
    <w:rsid w:val="0068032E"/>
    <w:rsid w:val="00680B74"/>
    <w:rsid w:val="006829A5"/>
    <w:rsid w:val="00684FE9"/>
    <w:rsid w:val="00690206"/>
    <w:rsid w:val="00690429"/>
    <w:rsid w:val="00691DDF"/>
    <w:rsid w:val="006937FF"/>
    <w:rsid w:val="00694624"/>
    <w:rsid w:val="006948C8"/>
    <w:rsid w:val="00694973"/>
    <w:rsid w:val="00695F26"/>
    <w:rsid w:val="00696F4E"/>
    <w:rsid w:val="00697ABA"/>
    <w:rsid w:val="00697BD4"/>
    <w:rsid w:val="00697F00"/>
    <w:rsid w:val="006A1935"/>
    <w:rsid w:val="006A1C25"/>
    <w:rsid w:val="006A28BA"/>
    <w:rsid w:val="006A2DD2"/>
    <w:rsid w:val="006A48A1"/>
    <w:rsid w:val="006A48A7"/>
    <w:rsid w:val="006A584E"/>
    <w:rsid w:val="006A5873"/>
    <w:rsid w:val="006A5A37"/>
    <w:rsid w:val="006A6C5B"/>
    <w:rsid w:val="006A7C9A"/>
    <w:rsid w:val="006B01E2"/>
    <w:rsid w:val="006B08D1"/>
    <w:rsid w:val="006B1EE8"/>
    <w:rsid w:val="006B2058"/>
    <w:rsid w:val="006B423C"/>
    <w:rsid w:val="006B4789"/>
    <w:rsid w:val="006B49E6"/>
    <w:rsid w:val="006B4AC1"/>
    <w:rsid w:val="006B4BA1"/>
    <w:rsid w:val="006B5EBE"/>
    <w:rsid w:val="006B61B4"/>
    <w:rsid w:val="006B64EC"/>
    <w:rsid w:val="006B7C5D"/>
    <w:rsid w:val="006C52CF"/>
    <w:rsid w:val="006C55F3"/>
    <w:rsid w:val="006C5CF5"/>
    <w:rsid w:val="006C7B30"/>
    <w:rsid w:val="006C7EE4"/>
    <w:rsid w:val="006D308A"/>
    <w:rsid w:val="006D36AB"/>
    <w:rsid w:val="006D432B"/>
    <w:rsid w:val="006D463A"/>
    <w:rsid w:val="006D4C6D"/>
    <w:rsid w:val="006D55C4"/>
    <w:rsid w:val="006D72B8"/>
    <w:rsid w:val="006E2570"/>
    <w:rsid w:val="006E27A4"/>
    <w:rsid w:val="006E3A90"/>
    <w:rsid w:val="006F0F70"/>
    <w:rsid w:val="006F2E0D"/>
    <w:rsid w:val="006F4484"/>
    <w:rsid w:val="006F4A82"/>
    <w:rsid w:val="006F58E8"/>
    <w:rsid w:val="00700578"/>
    <w:rsid w:val="007010F4"/>
    <w:rsid w:val="007035D3"/>
    <w:rsid w:val="0070373B"/>
    <w:rsid w:val="007053A5"/>
    <w:rsid w:val="00705F5D"/>
    <w:rsid w:val="00710817"/>
    <w:rsid w:val="00710E0F"/>
    <w:rsid w:val="0071164C"/>
    <w:rsid w:val="00711FAB"/>
    <w:rsid w:val="00712635"/>
    <w:rsid w:val="0071275C"/>
    <w:rsid w:val="007142E9"/>
    <w:rsid w:val="007156E6"/>
    <w:rsid w:val="007158ED"/>
    <w:rsid w:val="00716BFA"/>
    <w:rsid w:val="00716E96"/>
    <w:rsid w:val="007220EC"/>
    <w:rsid w:val="00723A5C"/>
    <w:rsid w:val="00723DC5"/>
    <w:rsid w:val="00723E9B"/>
    <w:rsid w:val="00724FA4"/>
    <w:rsid w:val="00726199"/>
    <w:rsid w:val="00726B8B"/>
    <w:rsid w:val="00730800"/>
    <w:rsid w:val="00730997"/>
    <w:rsid w:val="00730F1B"/>
    <w:rsid w:val="0073171B"/>
    <w:rsid w:val="007378E4"/>
    <w:rsid w:val="00737F78"/>
    <w:rsid w:val="007412AF"/>
    <w:rsid w:val="00741E68"/>
    <w:rsid w:val="00742013"/>
    <w:rsid w:val="007438B8"/>
    <w:rsid w:val="00743B07"/>
    <w:rsid w:val="00743B71"/>
    <w:rsid w:val="00744C2C"/>
    <w:rsid w:val="00747116"/>
    <w:rsid w:val="007474CA"/>
    <w:rsid w:val="007506D1"/>
    <w:rsid w:val="0075096C"/>
    <w:rsid w:val="00751874"/>
    <w:rsid w:val="0075392E"/>
    <w:rsid w:val="00754476"/>
    <w:rsid w:val="0075472F"/>
    <w:rsid w:val="00754D93"/>
    <w:rsid w:val="00754DDA"/>
    <w:rsid w:val="007558C5"/>
    <w:rsid w:val="007579BA"/>
    <w:rsid w:val="00757CCE"/>
    <w:rsid w:val="007602AA"/>
    <w:rsid w:val="0076155B"/>
    <w:rsid w:val="007628C5"/>
    <w:rsid w:val="00762CF2"/>
    <w:rsid w:val="00763B2A"/>
    <w:rsid w:val="00764580"/>
    <w:rsid w:val="00764BBE"/>
    <w:rsid w:val="007652EF"/>
    <w:rsid w:val="00766E2A"/>
    <w:rsid w:val="00766FB2"/>
    <w:rsid w:val="00772BDC"/>
    <w:rsid w:val="00774ED0"/>
    <w:rsid w:val="007751E5"/>
    <w:rsid w:val="00777FC4"/>
    <w:rsid w:val="00780792"/>
    <w:rsid w:val="007814C7"/>
    <w:rsid w:val="00782E43"/>
    <w:rsid w:val="00783138"/>
    <w:rsid w:val="00783150"/>
    <w:rsid w:val="007834E5"/>
    <w:rsid w:val="00783876"/>
    <w:rsid w:val="00785121"/>
    <w:rsid w:val="00786902"/>
    <w:rsid w:val="00786D04"/>
    <w:rsid w:val="0078726C"/>
    <w:rsid w:val="00791A0C"/>
    <w:rsid w:val="00791E88"/>
    <w:rsid w:val="00792DA8"/>
    <w:rsid w:val="00792F72"/>
    <w:rsid w:val="00793920"/>
    <w:rsid w:val="00793E85"/>
    <w:rsid w:val="00794870"/>
    <w:rsid w:val="00796562"/>
    <w:rsid w:val="00796A9D"/>
    <w:rsid w:val="00796DE1"/>
    <w:rsid w:val="007A10D0"/>
    <w:rsid w:val="007A1C56"/>
    <w:rsid w:val="007A44B4"/>
    <w:rsid w:val="007A4630"/>
    <w:rsid w:val="007A5559"/>
    <w:rsid w:val="007A7D3D"/>
    <w:rsid w:val="007B225D"/>
    <w:rsid w:val="007B43C6"/>
    <w:rsid w:val="007B4E62"/>
    <w:rsid w:val="007B6449"/>
    <w:rsid w:val="007B654E"/>
    <w:rsid w:val="007C0B72"/>
    <w:rsid w:val="007C0F5E"/>
    <w:rsid w:val="007C174F"/>
    <w:rsid w:val="007C1C64"/>
    <w:rsid w:val="007C1CF0"/>
    <w:rsid w:val="007C28D7"/>
    <w:rsid w:val="007C33DE"/>
    <w:rsid w:val="007C3605"/>
    <w:rsid w:val="007C3728"/>
    <w:rsid w:val="007C474B"/>
    <w:rsid w:val="007C5B91"/>
    <w:rsid w:val="007D03EA"/>
    <w:rsid w:val="007D21BD"/>
    <w:rsid w:val="007D21D0"/>
    <w:rsid w:val="007D2416"/>
    <w:rsid w:val="007D33C3"/>
    <w:rsid w:val="007D3CB1"/>
    <w:rsid w:val="007D6839"/>
    <w:rsid w:val="007E07AE"/>
    <w:rsid w:val="007E4049"/>
    <w:rsid w:val="007E48BC"/>
    <w:rsid w:val="007E6AF1"/>
    <w:rsid w:val="007E7445"/>
    <w:rsid w:val="007E79F7"/>
    <w:rsid w:val="007F02E8"/>
    <w:rsid w:val="007F069E"/>
    <w:rsid w:val="007F161F"/>
    <w:rsid w:val="007F1A60"/>
    <w:rsid w:val="007F227F"/>
    <w:rsid w:val="007F3200"/>
    <w:rsid w:val="007F3630"/>
    <w:rsid w:val="007F3C9B"/>
    <w:rsid w:val="007F49BE"/>
    <w:rsid w:val="007F5387"/>
    <w:rsid w:val="007F615E"/>
    <w:rsid w:val="007F70B7"/>
    <w:rsid w:val="008006E9"/>
    <w:rsid w:val="00800DBB"/>
    <w:rsid w:val="008020BC"/>
    <w:rsid w:val="00802467"/>
    <w:rsid w:val="00802E36"/>
    <w:rsid w:val="00804D63"/>
    <w:rsid w:val="008053E2"/>
    <w:rsid w:val="00805504"/>
    <w:rsid w:val="00806F64"/>
    <w:rsid w:val="0080751F"/>
    <w:rsid w:val="00807559"/>
    <w:rsid w:val="00807CB9"/>
    <w:rsid w:val="008103F5"/>
    <w:rsid w:val="00811158"/>
    <w:rsid w:val="00811A22"/>
    <w:rsid w:val="00811CA6"/>
    <w:rsid w:val="008127D5"/>
    <w:rsid w:val="008131FC"/>
    <w:rsid w:val="00813F39"/>
    <w:rsid w:val="00814146"/>
    <w:rsid w:val="008148D3"/>
    <w:rsid w:val="00815917"/>
    <w:rsid w:val="00816FF5"/>
    <w:rsid w:val="00824CEB"/>
    <w:rsid w:val="00830692"/>
    <w:rsid w:val="0083121F"/>
    <w:rsid w:val="00832211"/>
    <w:rsid w:val="00832E7D"/>
    <w:rsid w:val="00833709"/>
    <w:rsid w:val="00834F33"/>
    <w:rsid w:val="00835EBF"/>
    <w:rsid w:val="00835EDB"/>
    <w:rsid w:val="0083640E"/>
    <w:rsid w:val="00836A74"/>
    <w:rsid w:val="00836D2F"/>
    <w:rsid w:val="00837DD8"/>
    <w:rsid w:val="0084078A"/>
    <w:rsid w:val="00842D6A"/>
    <w:rsid w:val="00843013"/>
    <w:rsid w:val="0084353A"/>
    <w:rsid w:val="00843F90"/>
    <w:rsid w:val="008450BC"/>
    <w:rsid w:val="00846FA5"/>
    <w:rsid w:val="00847392"/>
    <w:rsid w:val="008478B8"/>
    <w:rsid w:val="0085334B"/>
    <w:rsid w:val="00853667"/>
    <w:rsid w:val="008537D5"/>
    <w:rsid w:val="0085678B"/>
    <w:rsid w:val="00860B67"/>
    <w:rsid w:val="00860E8F"/>
    <w:rsid w:val="00860ED1"/>
    <w:rsid w:val="00861F31"/>
    <w:rsid w:val="008638F3"/>
    <w:rsid w:val="00863D18"/>
    <w:rsid w:val="00864C78"/>
    <w:rsid w:val="00864E38"/>
    <w:rsid w:val="008666F3"/>
    <w:rsid w:val="00870214"/>
    <w:rsid w:val="00874C17"/>
    <w:rsid w:val="0087520C"/>
    <w:rsid w:val="008752D7"/>
    <w:rsid w:val="00875421"/>
    <w:rsid w:val="00875687"/>
    <w:rsid w:val="00875F53"/>
    <w:rsid w:val="00877845"/>
    <w:rsid w:val="00881B14"/>
    <w:rsid w:val="00882F7C"/>
    <w:rsid w:val="008831FF"/>
    <w:rsid w:val="00883A0C"/>
    <w:rsid w:val="00883E23"/>
    <w:rsid w:val="00884329"/>
    <w:rsid w:val="00884FCC"/>
    <w:rsid w:val="00885C51"/>
    <w:rsid w:val="00885EB0"/>
    <w:rsid w:val="00886755"/>
    <w:rsid w:val="00886D7C"/>
    <w:rsid w:val="00891F4B"/>
    <w:rsid w:val="0089264A"/>
    <w:rsid w:val="00893298"/>
    <w:rsid w:val="008934A0"/>
    <w:rsid w:val="00893784"/>
    <w:rsid w:val="00894755"/>
    <w:rsid w:val="00894CE0"/>
    <w:rsid w:val="008967A6"/>
    <w:rsid w:val="00896B85"/>
    <w:rsid w:val="00896D6F"/>
    <w:rsid w:val="00897270"/>
    <w:rsid w:val="008A0F81"/>
    <w:rsid w:val="008A1775"/>
    <w:rsid w:val="008A22BE"/>
    <w:rsid w:val="008A2420"/>
    <w:rsid w:val="008A334F"/>
    <w:rsid w:val="008A5EF8"/>
    <w:rsid w:val="008A693C"/>
    <w:rsid w:val="008B0117"/>
    <w:rsid w:val="008B0DF1"/>
    <w:rsid w:val="008B1ED1"/>
    <w:rsid w:val="008B2064"/>
    <w:rsid w:val="008B2681"/>
    <w:rsid w:val="008B2A1D"/>
    <w:rsid w:val="008B36A7"/>
    <w:rsid w:val="008B6075"/>
    <w:rsid w:val="008B6AF1"/>
    <w:rsid w:val="008B7181"/>
    <w:rsid w:val="008B7492"/>
    <w:rsid w:val="008B77B1"/>
    <w:rsid w:val="008C07DF"/>
    <w:rsid w:val="008C0A76"/>
    <w:rsid w:val="008C0DD0"/>
    <w:rsid w:val="008C1B36"/>
    <w:rsid w:val="008C2825"/>
    <w:rsid w:val="008C49E3"/>
    <w:rsid w:val="008C5190"/>
    <w:rsid w:val="008C5E74"/>
    <w:rsid w:val="008C66B7"/>
    <w:rsid w:val="008C7AFC"/>
    <w:rsid w:val="008C7CA6"/>
    <w:rsid w:val="008D06C6"/>
    <w:rsid w:val="008D261A"/>
    <w:rsid w:val="008D2B56"/>
    <w:rsid w:val="008D7FB8"/>
    <w:rsid w:val="008E186D"/>
    <w:rsid w:val="008E19F4"/>
    <w:rsid w:val="008E3113"/>
    <w:rsid w:val="008E34E6"/>
    <w:rsid w:val="008E38EB"/>
    <w:rsid w:val="008E5103"/>
    <w:rsid w:val="008E592A"/>
    <w:rsid w:val="008E6250"/>
    <w:rsid w:val="008E6BC8"/>
    <w:rsid w:val="008E7190"/>
    <w:rsid w:val="008E76C6"/>
    <w:rsid w:val="008F0DDD"/>
    <w:rsid w:val="008F0E62"/>
    <w:rsid w:val="008F17CC"/>
    <w:rsid w:val="008F196F"/>
    <w:rsid w:val="008F1AEF"/>
    <w:rsid w:val="008F1EDA"/>
    <w:rsid w:val="008F3734"/>
    <w:rsid w:val="008F39E2"/>
    <w:rsid w:val="008F4BF4"/>
    <w:rsid w:val="008F523A"/>
    <w:rsid w:val="008F7491"/>
    <w:rsid w:val="009003B5"/>
    <w:rsid w:val="00900CC6"/>
    <w:rsid w:val="00902AF6"/>
    <w:rsid w:val="00902FFE"/>
    <w:rsid w:val="00903B57"/>
    <w:rsid w:val="00905271"/>
    <w:rsid w:val="009061F8"/>
    <w:rsid w:val="009066FA"/>
    <w:rsid w:val="00907D7E"/>
    <w:rsid w:val="009102DE"/>
    <w:rsid w:val="009116CE"/>
    <w:rsid w:val="00913F87"/>
    <w:rsid w:val="00915201"/>
    <w:rsid w:val="00915EEC"/>
    <w:rsid w:val="00916119"/>
    <w:rsid w:val="009171BE"/>
    <w:rsid w:val="0092001D"/>
    <w:rsid w:val="00920249"/>
    <w:rsid w:val="00920C95"/>
    <w:rsid w:val="0092371E"/>
    <w:rsid w:val="00924172"/>
    <w:rsid w:val="00924C80"/>
    <w:rsid w:val="00924D51"/>
    <w:rsid w:val="009255C0"/>
    <w:rsid w:val="00925AA5"/>
    <w:rsid w:val="00925DD5"/>
    <w:rsid w:val="00925F1D"/>
    <w:rsid w:val="009300B5"/>
    <w:rsid w:val="009323C3"/>
    <w:rsid w:val="00932F14"/>
    <w:rsid w:val="0093543B"/>
    <w:rsid w:val="009366B8"/>
    <w:rsid w:val="00936CCC"/>
    <w:rsid w:val="0094247F"/>
    <w:rsid w:val="00942623"/>
    <w:rsid w:val="00942A78"/>
    <w:rsid w:val="00942D60"/>
    <w:rsid w:val="00942FF5"/>
    <w:rsid w:val="0094348E"/>
    <w:rsid w:val="0094420D"/>
    <w:rsid w:val="0094473C"/>
    <w:rsid w:val="009466F4"/>
    <w:rsid w:val="00947942"/>
    <w:rsid w:val="00947BAE"/>
    <w:rsid w:val="009513BC"/>
    <w:rsid w:val="00953979"/>
    <w:rsid w:val="00956BCC"/>
    <w:rsid w:val="00957D4A"/>
    <w:rsid w:val="00960CB8"/>
    <w:rsid w:val="00963AAE"/>
    <w:rsid w:val="00963EB5"/>
    <w:rsid w:val="0096523B"/>
    <w:rsid w:val="00965B2C"/>
    <w:rsid w:val="00966EE3"/>
    <w:rsid w:val="0096725F"/>
    <w:rsid w:val="009710EF"/>
    <w:rsid w:val="00972D06"/>
    <w:rsid w:val="00973D92"/>
    <w:rsid w:val="00973DB3"/>
    <w:rsid w:val="00976A97"/>
    <w:rsid w:val="00977E85"/>
    <w:rsid w:val="00980BF4"/>
    <w:rsid w:val="009819FB"/>
    <w:rsid w:val="00982220"/>
    <w:rsid w:val="00983055"/>
    <w:rsid w:val="00984680"/>
    <w:rsid w:val="009856CE"/>
    <w:rsid w:val="009858AC"/>
    <w:rsid w:val="009878A8"/>
    <w:rsid w:val="00991151"/>
    <w:rsid w:val="00993CD2"/>
    <w:rsid w:val="0099434B"/>
    <w:rsid w:val="00995757"/>
    <w:rsid w:val="009A0698"/>
    <w:rsid w:val="009A2C3C"/>
    <w:rsid w:val="009A391C"/>
    <w:rsid w:val="009A50F2"/>
    <w:rsid w:val="009A5975"/>
    <w:rsid w:val="009A6514"/>
    <w:rsid w:val="009A73E5"/>
    <w:rsid w:val="009A772D"/>
    <w:rsid w:val="009A7DE9"/>
    <w:rsid w:val="009B108E"/>
    <w:rsid w:val="009B1311"/>
    <w:rsid w:val="009B57FD"/>
    <w:rsid w:val="009B5FF3"/>
    <w:rsid w:val="009B71B6"/>
    <w:rsid w:val="009B78C6"/>
    <w:rsid w:val="009C2A2E"/>
    <w:rsid w:val="009C3D14"/>
    <w:rsid w:val="009C455A"/>
    <w:rsid w:val="009C491E"/>
    <w:rsid w:val="009C65B9"/>
    <w:rsid w:val="009C7046"/>
    <w:rsid w:val="009C7C27"/>
    <w:rsid w:val="009D002F"/>
    <w:rsid w:val="009D07B3"/>
    <w:rsid w:val="009D15BD"/>
    <w:rsid w:val="009D1FB2"/>
    <w:rsid w:val="009D2746"/>
    <w:rsid w:val="009D3353"/>
    <w:rsid w:val="009D3725"/>
    <w:rsid w:val="009D38D5"/>
    <w:rsid w:val="009D3DFC"/>
    <w:rsid w:val="009D502D"/>
    <w:rsid w:val="009E035E"/>
    <w:rsid w:val="009E03AF"/>
    <w:rsid w:val="009E0A61"/>
    <w:rsid w:val="009E2EE2"/>
    <w:rsid w:val="009E3010"/>
    <w:rsid w:val="009E3D37"/>
    <w:rsid w:val="009E3EE8"/>
    <w:rsid w:val="009E4336"/>
    <w:rsid w:val="009E44F2"/>
    <w:rsid w:val="009E7116"/>
    <w:rsid w:val="009E7D34"/>
    <w:rsid w:val="009F007E"/>
    <w:rsid w:val="009F0E08"/>
    <w:rsid w:val="009F23A4"/>
    <w:rsid w:val="009F3D73"/>
    <w:rsid w:val="009F3F94"/>
    <w:rsid w:val="009F5546"/>
    <w:rsid w:val="009F58BB"/>
    <w:rsid w:val="009F5D3A"/>
    <w:rsid w:val="009F635A"/>
    <w:rsid w:val="009F6861"/>
    <w:rsid w:val="009F7065"/>
    <w:rsid w:val="00A018A2"/>
    <w:rsid w:val="00A01DE3"/>
    <w:rsid w:val="00A02D85"/>
    <w:rsid w:val="00A04BFE"/>
    <w:rsid w:val="00A078D6"/>
    <w:rsid w:val="00A124F7"/>
    <w:rsid w:val="00A1281D"/>
    <w:rsid w:val="00A1360F"/>
    <w:rsid w:val="00A16CD2"/>
    <w:rsid w:val="00A230F9"/>
    <w:rsid w:val="00A231B5"/>
    <w:rsid w:val="00A23E41"/>
    <w:rsid w:val="00A24B6D"/>
    <w:rsid w:val="00A24D2B"/>
    <w:rsid w:val="00A25F82"/>
    <w:rsid w:val="00A26124"/>
    <w:rsid w:val="00A26216"/>
    <w:rsid w:val="00A270DC"/>
    <w:rsid w:val="00A27C60"/>
    <w:rsid w:val="00A3010C"/>
    <w:rsid w:val="00A317D4"/>
    <w:rsid w:val="00A32D8B"/>
    <w:rsid w:val="00A334B6"/>
    <w:rsid w:val="00A34DC7"/>
    <w:rsid w:val="00A35325"/>
    <w:rsid w:val="00A36381"/>
    <w:rsid w:val="00A37BE2"/>
    <w:rsid w:val="00A37C6A"/>
    <w:rsid w:val="00A40E07"/>
    <w:rsid w:val="00A41163"/>
    <w:rsid w:val="00A4175D"/>
    <w:rsid w:val="00A41B34"/>
    <w:rsid w:val="00A41DC5"/>
    <w:rsid w:val="00A4343B"/>
    <w:rsid w:val="00A44E40"/>
    <w:rsid w:val="00A451C5"/>
    <w:rsid w:val="00A45F4B"/>
    <w:rsid w:val="00A46A8E"/>
    <w:rsid w:val="00A47976"/>
    <w:rsid w:val="00A50469"/>
    <w:rsid w:val="00A52E9E"/>
    <w:rsid w:val="00A5370C"/>
    <w:rsid w:val="00A53C79"/>
    <w:rsid w:val="00A541BC"/>
    <w:rsid w:val="00A56288"/>
    <w:rsid w:val="00A56A70"/>
    <w:rsid w:val="00A56DC7"/>
    <w:rsid w:val="00A57EB7"/>
    <w:rsid w:val="00A6103A"/>
    <w:rsid w:val="00A64133"/>
    <w:rsid w:val="00A66232"/>
    <w:rsid w:val="00A7032B"/>
    <w:rsid w:val="00A719D6"/>
    <w:rsid w:val="00A7248D"/>
    <w:rsid w:val="00A726FC"/>
    <w:rsid w:val="00A72A51"/>
    <w:rsid w:val="00A73606"/>
    <w:rsid w:val="00A74C9B"/>
    <w:rsid w:val="00A74FD1"/>
    <w:rsid w:val="00A75766"/>
    <w:rsid w:val="00A75A28"/>
    <w:rsid w:val="00A76B0C"/>
    <w:rsid w:val="00A773AF"/>
    <w:rsid w:val="00A77BFA"/>
    <w:rsid w:val="00A80E0F"/>
    <w:rsid w:val="00A838BE"/>
    <w:rsid w:val="00A84A58"/>
    <w:rsid w:val="00A87E8D"/>
    <w:rsid w:val="00A92761"/>
    <w:rsid w:val="00A932EB"/>
    <w:rsid w:val="00A93DC2"/>
    <w:rsid w:val="00A94108"/>
    <w:rsid w:val="00A964EA"/>
    <w:rsid w:val="00AA0AAC"/>
    <w:rsid w:val="00AA17E1"/>
    <w:rsid w:val="00AA2472"/>
    <w:rsid w:val="00AA3EA8"/>
    <w:rsid w:val="00AA3FF1"/>
    <w:rsid w:val="00AA43F4"/>
    <w:rsid w:val="00AA646E"/>
    <w:rsid w:val="00AA6D31"/>
    <w:rsid w:val="00AA6D3C"/>
    <w:rsid w:val="00AA7277"/>
    <w:rsid w:val="00AA7301"/>
    <w:rsid w:val="00AB0A5C"/>
    <w:rsid w:val="00AB0C2B"/>
    <w:rsid w:val="00AB0C56"/>
    <w:rsid w:val="00AB1848"/>
    <w:rsid w:val="00AB1853"/>
    <w:rsid w:val="00AB357B"/>
    <w:rsid w:val="00AB59CE"/>
    <w:rsid w:val="00AB795A"/>
    <w:rsid w:val="00AC22FA"/>
    <w:rsid w:val="00AC2B6A"/>
    <w:rsid w:val="00AC2CDE"/>
    <w:rsid w:val="00AC60C7"/>
    <w:rsid w:val="00AC6AF5"/>
    <w:rsid w:val="00AC744F"/>
    <w:rsid w:val="00AC7BD7"/>
    <w:rsid w:val="00AD2C82"/>
    <w:rsid w:val="00AD45A2"/>
    <w:rsid w:val="00AD461F"/>
    <w:rsid w:val="00AD51DF"/>
    <w:rsid w:val="00AD697D"/>
    <w:rsid w:val="00AD763A"/>
    <w:rsid w:val="00AE08FE"/>
    <w:rsid w:val="00AE37B3"/>
    <w:rsid w:val="00AE7850"/>
    <w:rsid w:val="00AF06FC"/>
    <w:rsid w:val="00AF0815"/>
    <w:rsid w:val="00AF3391"/>
    <w:rsid w:val="00AF387F"/>
    <w:rsid w:val="00AF5C5E"/>
    <w:rsid w:val="00AF640F"/>
    <w:rsid w:val="00AF70C7"/>
    <w:rsid w:val="00AF7738"/>
    <w:rsid w:val="00AF7EFC"/>
    <w:rsid w:val="00B00026"/>
    <w:rsid w:val="00B002BF"/>
    <w:rsid w:val="00B00B42"/>
    <w:rsid w:val="00B00E7F"/>
    <w:rsid w:val="00B01313"/>
    <w:rsid w:val="00B03BDA"/>
    <w:rsid w:val="00B04B5F"/>
    <w:rsid w:val="00B07031"/>
    <w:rsid w:val="00B0747A"/>
    <w:rsid w:val="00B0788F"/>
    <w:rsid w:val="00B105B8"/>
    <w:rsid w:val="00B10DC5"/>
    <w:rsid w:val="00B10FF6"/>
    <w:rsid w:val="00B113E4"/>
    <w:rsid w:val="00B11A75"/>
    <w:rsid w:val="00B11A97"/>
    <w:rsid w:val="00B12090"/>
    <w:rsid w:val="00B12F1E"/>
    <w:rsid w:val="00B13631"/>
    <w:rsid w:val="00B14807"/>
    <w:rsid w:val="00B15CFF"/>
    <w:rsid w:val="00B16FDD"/>
    <w:rsid w:val="00B1714C"/>
    <w:rsid w:val="00B173DA"/>
    <w:rsid w:val="00B17B1A"/>
    <w:rsid w:val="00B21956"/>
    <w:rsid w:val="00B21DCC"/>
    <w:rsid w:val="00B249B4"/>
    <w:rsid w:val="00B254E9"/>
    <w:rsid w:val="00B25A49"/>
    <w:rsid w:val="00B25F37"/>
    <w:rsid w:val="00B268E8"/>
    <w:rsid w:val="00B2740A"/>
    <w:rsid w:val="00B3048E"/>
    <w:rsid w:val="00B32BCD"/>
    <w:rsid w:val="00B333FF"/>
    <w:rsid w:val="00B34D76"/>
    <w:rsid w:val="00B35235"/>
    <w:rsid w:val="00B3560E"/>
    <w:rsid w:val="00B36E8F"/>
    <w:rsid w:val="00B3755C"/>
    <w:rsid w:val="00B37BF0"/>
    <w:rsid w:val="00B401F0"/>
    <w:rsid w:val="00B40940"/>
    <w:rsid w:val="00B415FD"/>
    <w:rsid w:val="00B42E59"/>
    <w:rsid w:val="00B42F8E"/>
    <w:rsid w:val="00B43643"/>
    <w:rsid w:val="00B437EF"/>
    <w:rsid w:val="00B44422"/>
    <w:rsid w:val="00B444B5"/>
    <w:rsid w:val="00B445B1"/>
    <w:rsid w:val="00B44778"/>
    <w:rsid w:val="00B44DDD"/>
    <w:rsid w:val="00B455F3"/>
    <w:rsid w:val="00B45B29"/>
    <w:rsid w:val="00B469CD"/>
    <w:rsid w:val="00B46EA0"/>
    <w:rsid w:val="00B5156A"/>
    <w:rsid w:val="00B52129"/>
    <w:rsid w:val="00B52561"/>
    <w:rsid w:val="00B5262E"/>
    <w:rsid w:val="00B5298C"/>
    <w:rsid w:val="00B52FC3"/>
    <w:rsid w:val="00B536AC"/>
    <w:rsid w:val="00B549A1"/>
    <w:rsid w:val="00B5500B"/>
    <w:rsid w:val="00B55667"/>
    <w:rsid w:val="00B566F3"/>
    <w:rsid w:val="00B56DD8"/>
    <w:rsid w:val="00B60DE1"/>
    <w:rsid w:val="00B60E50"/>
    <w:rsid w:val="00B64595"/>
    <w:rsid w:val="00B6607E"/>
    <w:rsid w:val="00B66D94"/>
    <w:rsid w:val="00B713C3"/>
    <w:rsid w:val="00B71EF3"/>
    <w:rsid w:val="00B723A9"/>
    <w:rsid w:val="00B72A3D"/>
    <w:rsid w:val="00B73051"/>
    <w:rsid w:val="00B731D3"/>
    <w:rsid w:val="00B75693"/>
    <w:rsid w:val="00B766BB"/>
    <w:rsid w:val="00B76C56"/>
    <w:rsid w:val="00B80F4A"/>
    <w:rsid w:val="00B80FC6"/>
    <w:rsid w:val="00B81422"/>
    <w:rsid w:val="00B816FE"/>
    <w:rsid w:val="00B82D12"/>
    <w:rsid w:val="00B839A3"/>
    <w:rsid w:val="00B84216"/>
    <w:rsid w:val="00B86F99"/>
    <w:rsid w:val="00B902BD"/>
    <w:rsid w:val="00B90DA8"/>
    <w:rsid w:val="00B914BF"/>
    <w:rsid w:val="00B92ECC"/>
    <w:rsid w:val="00B936B9"/>
    <w:rsid w:val="00B93D6C"/>
    <w:rsid w:val="00B94992"/>
    <w:rsid w:val="00B94E34"/>
    <w:rsid w:val="00B95D52"/>
    <w:rsid w:val="00B96FB9"/>
    <w:rsid w:val="00B97DED"/>
    <w:rsid w:val="00BA24E2"/>
    <w:rsid w:val="00BA4BC1"/>
    <w:rsid w:val="00BA7F23"/>
    <w:rsid w:val="00BB0FD9"/>
    <w:rsid w:val="00BB4490"/>
    <w:rsid w:val="00BB5290"/>
    <w:rsid w:val="00BB5616"/>
    <w:rsid w:val="00BB65D2"/>
    <w:rsid w:val="00BB67F9"/>
    <w:rsid w:val="00BB6AF6"/>
    <w:rsid w:val="00BB74C0"/>
    <w:rsid w:val="00BB7510"/>
    <w:rsid w:val="00BB78E4"/>
    <w:rsid w:val="00BC0436"/>
    <w:rsid w:val="00BC11F6"/>
    <w:rsid w:val="00BC18F4"/>
    <w:rsid w:val="00BC1976"/>
    <w:rsid w:val="00BC1A9A"/>
    <w:rsid w:val="00BC2F07"/>
    <w:rsid w:val="00BC317F"/>
    <w:rsid w:val="00BC38BF"/>
    <w:rsid w:val="00BC521F"/>
    <w:rsid w:val="00BC5940"/>
    <w:rsid w:val="00BC59D4"/>
    <w:rsid w:val="00BC6E54"/>
    <w:rsid w:val="00BC724D"/>
    <w:rsid w:val="00BD08BC"/>
    <w:rsid w:val="00BD2A39"/>
    <w:rsid w:val="00BD2E80"/>
    <w:rsid w:val="00BD426F"/>
    <w:rsid w:val="00BD43DD"/>
    <w:rsid w:val="00BD5ADD"/>
    <w:rsid w:val="00BD78E9"/>
    <w:rsid w:val="00BE01F2"/>
    <w:rsid w:val="00BE11B8"/>
    <w:rsid w:val="00BE27AC"/>
    <w:rsid w:val="00BE2FC8"/>
    <w:rsid w:val="00BE328A"/>
    <w:rsid w:val="00BE4353"/>
    <w:rsid w:val="00BF1147"/>
    <w:rsid w:val="00BF6CBA"/>
    <w:rsid w:val="00BF7101"/>
    <w:rsid w:val="00BF71E0"/>
    <w:rsid w:val="00BF7BFE"/>
    <w:rsid w:val="00BF7FF0"/>
    <w:rsid w:val="00C01785"/>
    <w:rsid w:val="00C0195F"/>
    <w:rsid w:val="00C021C1"/>
    <w:rsid w:val="00C02C7E"/>
    <w:rsid w:val="00C057F4"/>
    <w:rsid w:val="00C05DE0"/>
    <w:rsid w:val="00C0691E"/>
    <w:rsid w:val="00C1069A"/>
    <w:rsid w:val="00C10E14"/>
    <w:rsid w:val="00C12502"/>
    <w:rsid w:val="00C138DD"/>
    <w:rsid w:val="00C14082"/>
    <w:rsid w:val="00C1420A"/>
    <w:rsid w:val="00C14320"/>
    <w:rsid w:val="00C159B9"/>
    <w:rsid w:val="00C172C9"/>
    <w:rsid w:val="00C17C7C"/>
    <w:rsid w:val="00C200AF"/>
    <w:rsid w:val="00C208BE"/>
    <w:rsid w:val="00C20A67"/>
    <w:rsid w:val="00C212D9"/>
    <w:rsid w:val="00C2309F"/>
    <w:rsid w:val="00C23368"/>
    <w:rsid w:val="00C23763"/>
    <w:rsid w:val="00C23B11"/>
    <w:rsid w:val="00C23ED5"/>
    <w:rsid w:val="00C2563D"/>
    <w:rsid w:val="00C278BA"/>
    <w:rsid w:val="00C31E20"/>
    <w:rsid w:val="00C36578"/>
    <w:rsid w:val="00C36CBA"/>
    <w:rsid w:val="00C377B0"/>
    <w:rsid w:val="00C4017E"/>
    <w:rsid w:val="00C40AA5"/>
    <w:rsid w:val="00C40B92"/>
    <w:rsid w:val="00C42A09"/>
    <w:rsid w:val="00C44EEC"/>
    <w:rsid w:val="00C45F97"/>
    <w:rsid w:val="00C465B8"/>
    <w:rsid w:val="00C46F70"/>
    <w:rsid w:val="00C47317"/>
    <w:rsid w:val="00C476D0"/>
    <w:rsid w:val="00C509ED"/>
    <w:rsid w:val="00C5531E"/>
    <w:rsid w:val="00C55AAC"/>
    <w:rsid w:val="00C55F22"/>
    <w:rsid w:val="00C61AC1"/>
    <w:rsid w:val="00C63415"/>
    <w:rsid w:val="00C65394"/>
    <w:rsid w:val="00C6655A"/>
    <w:rsid w:val="00C67192"/>
    <w:rsid w:val="00C67BEA"/>
    <w:rsid w:val="00C716DD"/>
    <w:rsid w:val="00C718A7"/>
    <w:rsid w:val="00C72E38"/>
    <w:rsid w:val="00C733A6"/>
    <w:rsid w:val="00C77DD6"/>
    <w:rsid w:val="00C77E84"/>
    <w:rsid w:val="00C80F06"/>
    <w:rsid w:val="00C8249A"/>
    <w:rsid w:val="00C82F36"/>
    <w:rsid w:val="00C836E3"/>
    <w:rsid w:val="00C84386"/>
    <w:rsid w:val="00C84DCD"/>
    <w:rsid w:val="00C85BFB"/>
    <w:rsid w:val="00C86577"/>
    <w:rsid w:val="00C86E08"/>
    <w:rsid w:val="00C86FDE"/>
    <w:rsid w:val="00C91169"/>
    <w:rsid w:val="00C92850"/>
    <w:rsid w:val="00C92A3D"/>
    <w:rsid w:val="00C92E07"/>
    <w:rsid w:val="00C92E5A"/>
    <w:rsid w:val="00C92F50"/>
    <w:rsid w:val="00C935BE"/>
    <w:rsid w:val="00C9429C"/>
    <w:rsid w:val="00C9473B"/>
    <w:rsid w:val="00C94C6E"/>
    <w:rsid w:val="00C95955"/>
    <w:rsid w:val="00C963CA"/>
    <w:rsid w:val="00C96868"/>
    <w:rsid w:val="00C97348"/>
    <w:rsid w:val="00CA0416"/>
    <w:rsid w:val="00CA13E4"/>
    <w:rsid w:val="00CA15C7"/>
    <w:rsid w:val="00CA2FED"/>
    <w:rsid w:val="00CA54F5"/>
    <w:rsid w:val="00CA641D"/>
    <w:rsid w:val="00CA6C08"/>
    <w:rsid w:val="00CA7C22"/>
    <w:rsid w:val="00CB2C19"/>
    <w:rsid w:val="00CC165D"/>
    <w:rsid w:val="00CC3CB1"/>
    <w:rsid w:val="00CC4089"/>
    <w:rsid w:val="00CC560B"/>
    <w:rsid w:val="00CC56A2"/>
    <w:rsid w:val="00CC5F23"/>
    <w:rsid w:val="00CC6AA1"/>
    <w:rsid w:val="00CC6CD5"/>
    <w:rsid w:val="00CC74A2"/>
    <w:rsid w:val="00CC75E2"/>
    <w:rsid w:val="00CD1328"/>
    <w:rsid w:val="00CD21D7"/>
    <w:rsid w:val="00CD2D4C"/>
    <w:rsid w:val="00CD33E3"/>
    <w:rsid w:val="00CD46EB"/>
    <w:rsid w:val="00CD7A54"/>
    <w:rsid w:val="00CD7EBF"/>
    <w:rsid w:val="00CE14EF"/>
    <w:rsid w:val="00CE1A24"/>
    <w:rsid w:val="00CE21CB"/>
    <w:rsid w:val="00CE2D0E"/>
    <w:rsid w:val="00CE4E32"/>
    <w:rsid w:val="00CE6256"/>
    <w:rsid w:val="00CE6577"/>
    <w:rsid w:val="00CE6C44"/>
    <w:rsid w:val="00CE74DE"/>
    <w:rsid w:val="00CE7E50"/>
    <w:rsid w:val="00CF0540"/>
    <w:rsid w:val="00CF0606"/>
    <w:rsid w:val="00CF065C"/>
    <w:rsid w:val="00CF0B52"/>
    <w:rsid w:val="00CF22AE"/>
    <w:rsid w:val="00CF2F69"/>
    <w:rsid w:val="00CF4035"/>
    <w:rsid w:val="00CF42FB"/>
    <w:rsid w:val="00CF4460"/>
    <w:rsid w:val="00CF4DB2"/>
    <w:rsid w:val="00D04264"/>
    <w:rsid w:val="00D056F1"/>
    <w:rsid w:val="00D059D3"/>
    <w:rsid w:val="00D06D37"/>
    <w:rsid w:val="00D07027"/>
    <w:rsid w:val="00D074E9"/>
    <w:rsid w:val="00D07A04"/>
    <w:rsid w:val="00D101A0"/>
    <w:rsid w:val="00D11171"/>
    <w:rsid w:val="00D11B62"/>
    <w:rsid w:val="00D147BC"/>
    <w:rsid w:val="00D152E7"/>
    <w:rsid w:val="00D15728"/>
    <w:rsid w:val="00D1600E"/>
    <w:rsid w:val="00D1617F"/>
    <w:rsid w:val="00D16384"/>
    <w:rsid w:val="00D17E11"/>
    <w:rsid w:val="00D17E8B"/>
    <w:rsid w:val="00D2019A"/>
    <w:rsid w:val="00D22F3C"/>
    <w:rsid w:val="00D2302E"/>
    <w:rsid w:val="00D23D6F"/>
    <w:rsid w:val="00D23DB6"/>
    <w:rsid w:val="00D24E4B"/>
    <w:rsid w:val="00D250BC"/>
    <w:rsid w:val="00D26AF6"/>
    <w:rsid w:val="00D27C6F"/>
    <w:rsid w:val="00D27DE1"/>
    <w:rsid w:val="00D336C7"/>
    <w:rsid w:val="00D3392D"/>
    <w:rsid w:val="00D354B6"/>
    <w:rsid w:val="00D40836"/>
    <w:rsid w:val="00D43FE6"/>
    <w:rsid w:val="00D44C93"/>
    <w:rsid w:val="00D4698F"/>
    <w:rsid w:val="00D47740"/>
    <w:rsid w:val="00D51A95"/>
    <w:rsid w:val="00D522D0"/>
    <w:rsid w:val="00D52F9E"/>
    <w:rsid w:val="00D55588"/>
    <w:rsid w:val="00D5767F"/>
    <w:rsid w:val="00D57728"/>
    <w:rsid w:val="00D60568"/>
    <w:rsid w:val="00D60CAE"/>
    <w:rsid w:val="00D612FE"/>
    <w:rsid w:val="00D64FA2"/>
    <w:rsid w:val="00D65411"/>
    <w:rsid w:val="00D659E6"/>
    <w:rsid w:val="00D65D9C"/>
    <w:rsid w:val="00D671CA"/>
    <w:rsid w:val="00D705B5"/>
    <w:rsid w:val="00D70C7A"/>
    <w:rsid w:val="00D71419"/>
    <w:rsid w:val="00D724AB"/>
    <w:rsid w:val="00D726F1"/>
    <w:rsid w:val="00D72B09"/>
    <w:rsid w:val="00D72C1C"/>
    <w:rsid w:val="00D739F2"/>
    <w:rsid w:val="00D73B63"/>
    <w:rsid w:val="00D74310"/>
    <w:rsid w:val="00D74B0E"/>
    <w:rsid w:val="00D7582A"/>
    <w:rsid w:val="00D75DCF"/>
    <w:rsid w:val="00D7779A"/>
    <w:rsid w:val="00D779A7"/>
    <w:rsid w:val="00D80B50"/>
    <w:rsid w:val="00D81D27"/>
    <w:rsid w:val="00D81D38"/>
    <w:rsid w:val="00D82D28"/>
    <w:rsid w:val="00D8367F"/>
    <w:rsid w:val="00D837AC"/>
    <w:rsid w:val="00D84A46"/>
    <w:rsid w:val="00D851FC"/>
    <w:rsid w:val="00D87DDC"/>
    <w:rsid w:val="00D90F67"/>
    <w:rsid w:val="00D9296B"/>
    <w:rsid w:val="00D93D6A"/>
    <w:rsid w:val="00D944DD"/>
    <w:rsid w:val="00D9563C"/>
    <w:rsid w:val="00D95696"/>
    <w:rsid w:val="00D9620E"/>
    <w:rsid w:val="00DA06B5"/>
    <w:rsid w:val="00DA10A8"/>
    <w:rsid w:val="00DA2445"/>
    <w:rsid w:val="00DA25F7"/>
    <w:rsid w:val="00DA4C04"/>
    <w:rsid w:val="00DA62EA"/>
    <w:rsid w:val="00DA7BD3"/>
    <w:rsid w:val="00DA7D71"/>
    <w:rsid w:val="00DB0727"/>
    <w:rsid w:val="00DB1E08"/>
    <w:rsid w:val="00DB2973"/>
    <w:rsid w:val="00DB42AC"/>
    <w:rsid w:val="00DB5024"/>
    <w:rsid w:val="00DB5BD7"/>
    <w:rsid w:val="00DB6100"/>
    <w:rsid w:val="00DB6529"/>
    <w:rsid w:val="00DB6845"/>
    <w:rsid w:val="00DB7B38"/>
    <w:rsid w:val="00DC1B53"/>
    <w:rsid w:val="00DC1B56"/>
    <w:rsid w:val="00DC2129"/>
    <w:rsid w:val="00DC24A6"/>
    <w:rsid w:val="00DC3498"/>
    <w:rsid w:val="00DC370A"/>
    <w:rsid w:val="00DC57AF"/>
    <w:rsid w:val="00DC6570"/>
    <w:rsid w:val="00DC7CFF"/>
    <w:rsid w:val="00DD3023"/>
    <w:rsid w:val="00DD3C5E"/>
    <w:rsid w:val="00DD4BA0"/>
    <w:rsid w:val="00DD5A98"/>
    <w:rsid w:val="00DD7354"/>
    <w:rsid w:val="00DD7DE9"/>
    <w:rsid w:val="00DE09EB"/>
    <w:rsid w:val="00DE2FEA"/>
    <w:rsid w:val="00DE35A4"/>
    <w:rsid w:val="00DE3AFB"/>
    <w:rsid w:val="00DE45F7"/>
    <w:rsid w:val="00DE4B58"/>
    <w:rsid w:val="00DE4D48"/>
    <w:rsid w:val="00DE4EE2"/>
    <w:rsid w:val="00DF0DA5"/>
    <w:rsid w:val="00DF1089"/>
    <w:rsid w:val="00DF25C3"/>
    <w:rsid w:val="00DF282C"/>
    <w:rsid w:val="00DF4F9D"/>
    <w:rsid w:val="00DF71FF"/>
    <w:rsid w:val="00DF790A"/>
    <w:rsid w:val="00E003FA"/>
    <w:rsid w:val="00E00A7D"/>
    <w:rsid w:val="00E01FA4"/>
    <w:rsid w:val="00E0312E"/>
    <w:rsid w:val="00E03CA7"/>
    <w:rsid w:val="00E04036"/>
    <w:rsid w:val="00E04062"/>
    <w:rsid w:val="00E048DB"/>
    <w:rsid w:val="00E050F4"/>
    <w:rsid w:val="00E05D03"/>
    <w:rsid w:val="00E05D0C"/>
    <w:rsid w:val="00E063C6"/>
    <w:rsid w:val="00E066BA"/>
    <w:rsid w:val="00E07B0E"/>
    <w:rsid w:val="00E1160E"/>
    <w:rsid w:val="00E118CB"/>
    <w:rsid w:val="00E14DAF"/>
    <w:rsid w:val="00E15BAC"/>
    <w:rsid w:val="00E2003B"/>
    <w:rsid w:val="00E203C2"/>
    <w:rsid w:val="00E2067F"/>
    <w:rsid w:val="00E21933"/>
    <w:rsid w:val="00E21A44"/>
    <w:rsid w:val="00E22848"/>
    <w:rsid w:val="00E2336B"/>
    <w:rsid w:val="00E233B1"/>
    <w:rsid w:val="00E23971"/>
    <w:rsid w:val="00E2401A"/>
    <w:rsid w:val="00E24421"/>
    <w:rsid w:val="00E25ACA"/>
    <w:rsid w:val="00E279D8"/>
    <w:rsid w:val="00E27D75"/>
    <w:rsid w:val="00E319B1"/>
    <w:rsid w:val="00E32924"/>
    <w:rsid w:val="00E3305A"/>
    <w:rsid w:val="00E33F90"/>
    <w:rsid w:val="00E34E9A"/>
    <w:rsid w:val="00E359B8"/>
    <w:rsid w:val="00E35F23"/>
    <w:rsid w:val="00E36D95"/>
    <w:rsid w:val="00E40284"/>
    <w:rsid w:val="00E409D8"/>
    <w:rsid w:val="00E43FF0"/>
    <w:rsid w:val="00E44E0D"/>
    <w:rsid w:val="00E45812"/>
    <w:rsid w:val="00E462B1"/>
    <w:rsid w:val="00E50EAB"/>
    <w:rsid w:val="00E521D1"/>
    <w:rsid w:val="00E521E7"/>
    <w:rsid w:val="00E523FE"/>
    <w:rsid w:val="00E5492F"/>
    <w:rsid w:val="00E54E6A"/>
    <w:rsid w:val="00E56319"/>
    <w:rsid w:val="00E572B9"/>
    <w:rsid w:val="00E60051"/>
    <w:rsid w:val="00E60329"/>
    <w:rsid w:val="00E6040A"/>
    <w:rsid w:val="00E62DEF"/>
    <w:rsid w:val="00E63420"/>
    <w:rsid w:val="00E63F21"/>
    <w:rsid w:val="00E64DF4"/>
    <w:rsid w:val="00E70594"/>
    <w:rsid w:val="00E706C4"/>
    <w:rsid w:val="00E70A86"/>
    <w:rsid w:val="00E72017"/>
    <w:rsid w:val="00E72E44"/>
    <w:rsid w:val="00E76764"/>
    <w:rsid w:val="00E77090"/>
    <w:rsid w:val="00E77534"/>
    <w:rsid w:val="00E777EC"/>
    <w:rsid w:val="00E80FCD"/>
    <w:rsid w:val="00E816FA"/>
    <w:rsid w:val="00E8171D"/>
    <w:rsid w:val="00E818CB"/>
    <w:rsid w:val="00E81D1B"/>
    <w:rsid w:val="00E848A6"/>
    <w:rsid w:val="00E84CFB"/>
    <w:rsid w:val="00E854BF"/>
    <w:rsid w:val="00E85962"/>
    <w:rsid w:val="00E8643E"/>
    <w:rsid w:val="00E86821"/>
    <w:rsid w:val="00E87C0B"/>
    <w:rsid w:val="00E903C0"/>
    <w:rsid w:val="00E90887"/>
    <w:rsid w:val="00E908CD"/>
    <w:rsid w:val="00E9191D"/>
    <w:rsid w:val="00E924D8"/>
    <w:rsid w:val="00E925D2"/>
    <w:rsid w:val="00E947FD"/>
    <w:rsid w:val="00E94A29"/>
    <w:rsid w:val="00E964C2"/>
    <w:rsid w:val="00EA0454"/>
    <w:rsid w:val="00EA1473"/>
    <w:rsid w:val="00EA1827"/>
    <w:rsid w:val="00EA2AEF"/>
    <w:rsid w:val="00EA7F2F"/>
    <w:rsid w:val="00EB148A"/>
    <w:rsid w:val="00EB2C33"/>
    <w:rsid w:val="00EB3595"/>
    <w:rsid w:val="00EB555D"/>
    <w:rsid w:val="00EB56A4"/>
    <w:rsid w:val="00EB56B7"/>
    <w:rsid w:val="00EB5E2B"/>
    <w:rsid w:val="00EB5FB5"/>
    <w:rsid w:val="00EB7B7F"/>
    <w:rsid w:val="00EB7CDD"/>
    <w:rsid w:val="00EB7D70"/>
    <w:rsid w:val="00EC00DE"/>
    <w:rsid w:val="00EC29B0"/>
    <w:rsid w:val="00EC30E1"/>
    <w:rsid w:val="00EC3342"/>
    <w:rsid w:val="00EC44F8"/>
    <w:rsid w:val="00EC4709"/>
    <w:rsid w:val="00EC5097"/>
    <w:rsid w:val="00EC56CD"/>
    <w:rsid w:val="00EC7CEB"/>
    <w:rsid w:val="00ED0C6D"/>
    <w:rsid w:val="00ED172A"/>
    <w:rsid w:val="00ED366B"/>
    <w:rsid w:val="00ED3BBF"/>
    <w:rsid w:val="00ED52FF"/>
    <w:rsid w:val="00ED54CF"/>
    <w:rsid w:val="00ED77A2"/>
    <w:rsid w:val="00EE0E88"/>
    <w:rsid w:val="00EE10FE"/>
    <w:rsid w:val="00EE166A"/>
    <w:rsid w:val="00EE2DCD"/>
    <w:rsid w:val="00EE48BE"/>
    <w:rsid w:val="00EE5343"/>
    <w:rsid w:val="00EE7933"/>
    <w:rsid w:val="00EF1A84"/>
    <w:rsid w:val="00EF39A8"/>
    <w:rsid w:val="00EF564D"/>
    <w:rsid w:val="00EF63A4"/>
    <w:rsid w:val="00EF6C01"/>
    <w:rsid w:val="00F00478"/>
    <w:rsid w:val="00F00F06"/>
    <w:rsid w:val="00F01009"/>
    <w:rsid w:val="00F01579"/>
    <w:rsid w:val="00F043F0"/>
    <w:rsid w:val="00F051FD"/>
    <w:rsid w:val="00F05B2B"/>
    <w:rsid w:val="00F10178"/>
    <w:rsid w:val="00F10568"/>
    <w:rsid w:val="00F10831"/>
    <w:rsid w:val="00F10F67"/>
    <w:rsid w:val="00F11F6C"/>
    <w:rsid w:val="00F127A6"/>
    <w:rsid w:val="00F13CD0"/>
    <w:rsid w:val="00F1454E"/>
    <w:rsid w:val="00F14899"/>
    <w:rsid w:val="00F14BEC"/>
    <w:rsid w:val="00F14E5B"/>
    <w:rsid w:val="00F1545C"/>
    <w:rsid w:val="00F210A7"/>
    <w:rsid w:val="00F215D3"/>
    <w:rsid w:val="00F225C5"/>
    <w:rsid w:val="00F2267D"/>
    <w:rsid w:val="00F2287B"/>
    <w:rsid w:val="00F22BEE"/>
    <w:rsid w:val="00F246A4"/>
    <w:rsid w:val="00F2587A"/>
    <w:rsid w:val="00F261F6"/>
    <w:rsid w:val="00F328B0"/>
    <w:rsid w:val="00F3307E"/>
    <w:rsid w:val="00F3515D"/>
    <w:rsid w:val="00F351AE"/>
    <w:rsid w:val="00F35B26"/>
    <w:rsid w:val="00F360F4"/>
    <w:rsid w:val="00F36F27"/>
    <w:rsid w:val="00F3715D"/>
    <w:rsid w:val="00F40F0C"/>
    <w:rsid w:val="00F420C8"/>
    <w:rsid w:val="00F4246B"/>
    <w:rsid w:val="00F42A4C"/>
    <w:rsid w:val="00F42F9D"/>
    <w:rsid w:val="00F43083"/>
    <w:rsid w:val="00F43135"/>
    <w:rsid w:val="00F437AD"/>
    <w:rsid w:val="00F43AC3"/>
    <w:rsid w:val="00F4422E"/>
    <w:rsid w:val="00F47957"/>
    <w:rsid w:val="00F566D9"/>
    <w:rsid w:val="00F56928"/>
    <w:rsid w:val="00F57E4B"/>
    <w:rsid w:val="00F600AF"/>
    <w:rsid w:val="00F604DE"/>
    <w:rsid w:val="00F6073B"/>
    <w:rsid w:val="00F652C8"/>
    <w:rsid w:val="00F65BC9"/>
    <w:rsid w:val="00F7224F"/>
    <w:rsid w:val="00F737EB"/>
    <w:rsid w:val="00F73D38"/>
    <w:rsid w:val="00F74027"/>
    <w:rsid w:val="00F74F1D"/>
    <w:rsid w:val="00F754D1"/>
    <w:rsid w:val="00F77D57"/>
    <w:rsid w:val="00F80962"/>
    <w:rsid w:val="00F82A06"/>
    <w:rsid w:val="00F82E69"/>
    <w:rsid w:val="00F83D89"/>
    <w:rsid w:val="00F849B1"/>
    <w:rsid w:val="00F8641F"/>
    <w:rsid w:val="00F874AA"/>
    <w:rsid w:val="00F91C0C"/>
    <w:rsid w:val="00F94042"/>
    <w:rsid w:val="00F940F6"/>
    <w:rsid w:val="00F95455"/>
    <w:rsid w:val="00F96245"/>
    <w:rsid w:val="00F964B6"/>
    <w:rsid w:val="00FA01B2"/>
    <w:rsid w:val="00FA0A5D"/>
    <w:rsid w:val="00FA3A71"/>
    <w:rsid w:val="00FA3D02"/>
    <w:rsid w:val="00FA3D68"/>
    <w:rsid w:val="00FA3D87"/>
    <w:rsid w:val="00FA4F19"/>
    <w:rsid w:val="00FA5041"/>
    <w:rsid w:val="00FA60E7"/>
    <w:rsid w:val="00FB19D1"/>
    <w:rsid w:val="00FB421D"/>
    <w:rsid w:val="00FB4BAA"/>
    <w:rsid w:val="00FB561C"/>
    <w:rsid w:val="00FB5DD2"/>
    <w:rsid w:val="00FB67AF"/>
    <w:rsid w:val="00FB74F8"/>
    <w:rsid w:val="00FB7512"/>
    <w:rsid w:val="00FB7C48"/>
    <w:rsid w:val="00FC00D3"/>
    <w:rsid w:val="00FC0576"/>
    <w:rsid w:val="00FC0DEC"/>
    <w:rsid w:val="00FC19EC"/>
    <w:rsid w:val="00FC2763"/>
    <w:rsid w:val="00FC28C9"/>
    <w:rsid w:val="00FC48A4"/>
    <w:rsid w:val="00FC4B66"/>
    <w:rsid w:val="00FC622B"/>
    <w:rsid w:val="00FC6E82"/>
    <w:rsid w:val="00FD0802"/>
    <w:rsid w:val="00FD099D"/>
    <w:rsid w:val="00FD1B10"/>
    <w:rsid w:val="00FD202A"/>
    <w:rsid w:val="00FD2187"/>
    <w:rsid w:val="00FD2565"/>
    <w:rsid w:val="00FD6546"/>
    <w:rsid w:val="00FD7547"/>
    <w:rsid w:val="00FE3D2B"/>
    <w:rsid w:val="00FE4239"/>
    <w:rsid w:val="00FE4CC3"/>
    <w:rsid w:val="00FE6C0E"/>
    <w:rsid w:val="00FE70F9"/>
    <w:rsid w:val="00FE721F"/>
    <w:rsid w:val="00FE78C2"/>
    <w:rsid w:val="00FF1B9B"/>
    <w:rsid w:val="00FF1E54"/>
    <w:rsid w:val="00FF3FC4"/>
    <w:rsid w:val="00FF5AD2"/>
    <w:rsid w:val="00FF5F5C"/>
    <w:rsid w:val="00FF6062"/>
    <w:rsid w:val="00FF6B24"/>
    <w:rsid w:val="02596C51"/>
    <w:rsid w:val="026CBBF2"/>
    <w:rsid w:val="02C97E90"/>
    <w:rsid w:val="031BBFDB"/>
    <w:rsid w:val="033DD307"/>
    <w:rsid w:val="03553077"/>
    <w:rsid w:val="03A93A1B"/>
    <w:rsid w:val="03BAA7E8"/>
    <w:rsid w:val="040932DC"/>
    <w:rsid w:val="04BE7ED6"/>
    <w:rsid w:val="066055F7"/>
    <w:rsid w:val="07F0ACC7"/>
    <w:rsid w:val="0827D9B0"/>
    <w:rsid w:val="084A595C"/>
    <w:rsid w:val="08B65980"/>
    <w:rsid w:val="0A4D651E"/>
    <w:rsid w:val="0A78063E"/>
    <w:rsid w:val="0AA877B4"/>
    <w:rsid w:val="0B213832"/>
    <w:rsid w:val="0B2B8A23"/>
    <w:rsid w:val="0B352D09"/>
    <w:rsid w:val="0C71EF0C"/>
    <w:rsid w:val="0C76B907"/>
    <w:rsid w:val="0CA52DA3"/>
    <w:rsid w:val="0D8505E0"/>
    <w:rsid w:val="0DE6FAF3"/>
    <w:rsid w:val="0E1080BD"/>
    <w:rsid w:val="0F744191"/>
    <w:rsid w:val="0F7AEFD9"/>
    <w:rsid w:val="100DC204"/>
    <w:rsid w:val="10190BF8"/>
    <w:rsid w:val="108AF680"/>
    <w:rsid w:val="10996310"/>
    <w:rsid w:val="11268859"/>
    <w:rsid w:val="11485EFA"/>
    <w:rsid w:val="125FBAD1"/>
    <w:rsid w:val="12C89E8B"/>
    <w:rsid w:val="130871F7"/>
    <w:rsid w:val="13BD0C00"/>
    <w:rsid w:val="144C2594"/>
    <w:rsid w:val="145E291B"/>
    <w:rsid w:val="1479847B"/>
    <w:rsid w:val="15362D66"/>
    <w:rsid w:val="15F9F97C"/>
    <w:rsid w:val="16C65E0E"/>
    <w:rsid w:val="1707A9A4"/>
    <w:rsid w:val="172655B7"/>
    <w:rsid w:val="177F9ECC"/>
    <w:rsid w:val="178857CB"/>
    <w:rsid w:val="179393AA"/>
    <w:rsid w:val="1795C9DD"/>
    <w:rsid w:val="17A0D572"/>
    <w:rsid w:val="18325358"/>
    <w:rsid w:val="1895592B"/>
    <w:rsid w:val="1915B719"/>
    <w:rsid w:val="197AB36B"/>
    <w:rsid w:val="198A6652"/>
    <w:rsid w:val="19B0AE2D"/>
    <w:rsid w:val="19BE7D49"/>
    <w:rsid w:val="1AB44242"/>
    <w:rsid w:val="1AE599C4"/>
    <w:rsid w:val="1AFC9445"/>
    <w:rsid w:val="1B1683CC"/>
    <w:rsid w:val="1B1F063A"/>
    <w:rsid w:val="1E29F17B"/>
    <w:rsid w:val="1E2DC259"/>
    <w:rsid w:val="1E36CB9C"/>
    <w:rsid w:val="1E7BCE1E"/>
    <w:rsid w:val="1F4E4FD7"/>
    <w:rsid w:val="200D1C53"/>
    <w:rsid w:val="2020B820"/>
    <w:rsid w:val="207320A6"/>
    <w:rsid w:val="21140704"/>
    <w:rsid w:val="212A958D"/>
    <w:rsid w:val="21DF8457"/>
    <w:rsid w:val="22BD8083"/>
    <w:rsid w:val="2345C385"/>
    <w:rsid w:val="23556C81"/>
    <w:rsid w:val="23629994"/>
    <w:rsid w:val="23F3AB20"/>
    <w:rsid w:val="24688A00"/>
    <w:rsid w:val="24DFFC84"/>
    <w:rsid w:val="26176451"/>
    <w:rsid w:val="273CCE49"/>
    <w:rsid w:val="273FE9F3"/>
    <w:rsid w:val="283332DD"/>
    <w:rsid w:val="284F7308"/>
    <w:rsid w:val="288FC936"/>
    <w:rsid w:val="292E0FC6"/>
    <w:rsid w:val="2951C01C"/>
    <w:rsid w:val="2A7540DB"/>
    <w:rsid w:val="2B78449F"/>
    <w:rsid w:val="2D06B050"/>
    <w:rsid w:val="2E7039F5"/>
    <w:rsid w:val="2ED64852"/>
    <w:rsid w:val="30A54318"/>
    <w:rsid w:val="31F5687A"/>
    <w:rsid w:val="33EEA346"/>
    <w:rsid w:val="34484ED3"/>
    <w:rsid w:val="3458C26E"/>
    <w:rsid w:val="345DFB7F"/>
    <w:rsid w:val="346C8051"/>
    <w:rsid w:val="3473B5E0"/>
    <w:rsid w:val="349BDBB3"/>
    <w:rsid w:val="363A3D5F"/>
    <w:rsid w:val="375A5712"/>
    <w:rsid w:val="3783D08E"/>
    <w:rsid w:val="378B4E9F"/>
    <w:rsid w:val="37D5580D"/>
    <w:rsid w:val="37EC7F24"/>
    <w:rsid w:val="3859D480"/>
    <w:rsid w:val="38909010"/>
    <w:rsid w:val="390BF82E"/>
    <w:rsid w:val="391229A9"/>
    <w:rsid w:val="3926C917"/>
    <w:rsid w:val="39B1E889"/>
    <w:rsid w:val="39C60823"/>
    <w:rsid w:val="3A012DE4"/>
    <w:rsid w:val="3A5B9508"/>
    <w:rsid w:val="3B3CD713"/>
    <w:rsid w:val="3B787FB6"/>
    <w:rsid w:val="3BDDCA47"/>
    <w:rsid w:val="3C8AD7C5"/>
    <w:rsid w:val="3DFA3A3A"/>
    <w:rsid w:val="3EBADA22"/>
    <w:rsid w:val="3F6E6AE9"/>
    <w:rsid w:val="3F833386"/>
    <w:rsid w:val="40BAA9BA"/>
    <w:rsid w:val="41A7D70F"/>
    <w:rsid w:val="41B90E40"/>
    <w:rsid w:val="41CB48DC"/>
    <w:rsid w:val="41F0C383"/>
    <w:rsid w:val="42588EB0"/>
    <w:rsid w:val="42DFBAB0"/>
    <w:rsid w:val="432FED2A"/>
    <w:rsid w:val="439B165D"/>
    <w:rsid w:val="443330EB"/>
    <w:rsid w:val="447D1F0D"/>
    <w:rsid w:val="44D44A07"/>
    <w:rsid w:val="44EE4032"/>
    <w:rsid w:val="44EE5C0A"/>
    <w:rsid w:val="44FD8CC9"/>
    <w:rsid w:val="45676876"/>
    <w:rsid w:val="45A4A0A3"/>
    <w:rsid w:val="46CAE410"/>
    <w:rsid w:val="470ABA23"/>
    <w:rsid w:val="476C2A23"/>
    <w:rsid w:val="47767EF6"/>
    <w:rsid w:val="47B35F09"/>
    <w:rsid w:val="480FFCDD"/>
    <w:rsid w:val="4899A856"/>
    <w:rsid w:val="49D383A4"/>
    <w:rsid w:val="49F345BF"/>
    <w:rsid w:val="4ABDF1D0"/>
    <w:rsid w:val="4AFDF377"/>
    <w:rsid w:val="4B8319AB"/>
    <w:rsid w:val="4BBE2D3E"/>
    <w:rsid w:val="4DB8CE1C"/>
    <w:rsid w:val="4DE69D32"/>
    <w:rsid w:val="4E516F0F"/>
    <w:rsid w:val="4FAF2E55"/>
    <w:rsid w:val="4FB41BEB"/>
    <w:rsid w:val="4FF6FEBA"/>
    <w:rsid w:val="5098740C"/>
    <w:rsid w:val="50FCDA44"/>
    <w:rsid w:val="510572F3"/>
    <w:rsid w:val="5106B889"/>
    <w:rsid w:val="5176A60A"/>
    <w:rsid w:val="51999F95"/>
    <w:rsid w:val="5238F62F"/>
    <w:rsid w:val="525A7ECA"/>
    <w:rsid w:val="53D4767F"/>
    <w:rsid w:val="53EB3569"/>
    <w:rsid w:val="5449892F"/>
    <w:rsid w:val="5462D828"/>
    <w:rsid w:val="54800FC2"/>
    <w:rsid w:val="54F335AE"/>
    <w:rsid w:val="55FD0ED6"/>
    <w:rsid w:val="5609F93E"/>
    <w:rsid w:val="5752BF11"/>
    <w:rsid w:val="5779C271"/>
    <w:rsid w:val="579DAAC7"/>
    <w:rsid w:val="583124E5"/>
    <w:rsid w:val="58568BB0"/>
    <w:rsid w:val="58E646C9"/>
    <w:rsid w:val="5A5BA5DD"/>
    <w:rsid w:val="5A9FA256"/>
    <w:rsid w:val="5ABF7584"/>
    <w:rsid w:val="5BEBD732"/>
    <w:rsid w:val="5DB3634E"/>
    <w:rsid w:val="5FA8859C"/>
    <w:rsid w:val="6203CAC9"/>
    <w:rsid w:val="62495930"/>
    <w:rsid w:val="6273555C"/>
    <w:rsid w:val="63681505"/>
    <w:rsid w:val="645B6C90"/>
    <w:rsid w:val="64B29847"/>
    <w:rsid w:val="66E408D4"/>
    <w:rsid w:val="66F2FD2D"/>
    <w:rsid w:val="678DF3C8"/>
    <w:rsid w:val="67E82879"/>
    <w:rsid w:val="68C19741"/>
    <w:rsid w:val="69651128"/>
    <w:rsid w:val="696AA2B7"/>
    <w:rsid w:val="6ADB7C24"/>
    <w:rsid w:val="6B0B0F4E"/>
    <w:rsid w:val="6BC63FA0"/>
    <w:rsid w:val="6BD2D95F"/>
    <w:rsid w:val="6C16E854"/>
    <w:rsid w:val="6CD0D54D"/>
    <w:rsid w:val="6D08A1BC"/>
    <w:rsid w:val="6D395937"/>
    <w:rsid w:val="70C49E1E"/>
    <w:rsid w:val="72544164"/>
    <w:rsid w:val="72F38C57"/>
    <w:rsid w:val="738C9686"/>
    <w:rsid w:val="73A627EF"/>
    <w:rsid w:val="74216FE4"/>
    <w:rsid w:val="7450739D"/>
    <w:rsid w:val="7653BA77"/>
    <w:rsid w:val="7756CD10"/>
    <w:rsid w:val="776194C2"/>
    <w:rsid w:val="777171D0"/>
    <w:rsid w:val="77A0D6CF"/>
    <w:rsid w:val="77F81472"/>
    <w:rsid w:val="783FB2F0"/>
    <w:rsid w:val="7849DCB1"/>
    <w:rsid w:val="78E1DEB2"/>
    <w:rsid w:val="799C8441"/>
    <w:rsid w:val="79EDCCCE"/>
    <w:rsid w:val="7A48DF6B"/>
    <w:rsid w:val="7A8332CB"/>
    <w:rsid w:val="7B09EFE1"/>
    <w:rsid w:val="7BFA9426"/>
    <w:rsid w:val="7C2EBD67"/>
    <w:rsid w:val="7CACC886"/>
    <w:rsid w:val="7DD0D646"/>
    <w:rsid w:val="7E891782"/>
    <w:rsid w:val="7ED6ABE3"/>
    <w:rsid w:val="7F363AF1"/>
    <w:rsid w:val="7FD1E835"/>
    <w:rsid w:val="7FF263FC"/>
    <w:rsid w:val="7FFA9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E9F72"/>
  <w15:docId w15:val="{EF79369A-2C4A-4E7A-8C85-2E21F0A4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42F9D"/>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42F9D"/>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CA2FED"/>
    <w:pPr>
      <w:tabs>
        <w:tab w:val="left" w:pos="880"/>
        <w:tab w:val="right" w:leader="dot" w:pos="9060"/>
      </w:tabs>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pPr>
    <w:rPr>
      <w:rFonts w:eastAsia="Calibri"/>
      <w:szCs w:val="22"/>
      <w:lang w:bidi="ar-SA"/>
    </w:rPr>
  </w:style>
  <w:style w:type="paragraph" w:customStyle="1" w:styleId="FSBullet3">
    <w:name w:val="FSBullet 3"/>
    <w:basedOn w:val="Normal"/>
    <w:qFormat/>
    <w:rsid w:val="0029631C"/>
    <w:pPr>
      <w:keepNext/>
      <w:widowControl/>
      <w:numPr>
        <w:numId w:val="3"/>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semiHidden/>
    <w:unhideWhenUsed/>
    <w:rsid w:val="00E25ACA"/>
    <w:rPr>
      <w:b/>
      <w:bCs/>
    </w:rPr>
  </w:style>
  <w:style w:type="character" w:customStyle="1" w:styleId="CommentSubjectChar">
    <w:name w:val="Comment Subject Char"/>
    <w:basedOn w:val="CommentTextChar"/>
    <w:link w:val="CommentSubject"/>
    <w:semiHidden/>
    <w:rsid w:val="00E25ACA"/>
    <w:rPr>
      <w:rFonts w:ascii="Arial" w:hAnsi="Arial"/>
      <w:b/>
      <w:bCs/>
      <w:lang w:eastAsia="en-US" w:bidi="en-US"/>
    </w:rPr>
  </w:style>
  <w:style w:type="paragraph" w:styleId="ListParagraph">
    <w:name w:val="List Paragraph"/>
    <w:basedOn w:val="Normal"/>
    <w:uiPriority w:val="34"/>
    <w:qFormat/>
    <w:rsid w:val="00135FD2"/>
    <w:pPr>
      <w:widowControl/>
      <w:ind w:left="720"/>
      <w:contextualSpacing/>
    </w:pPr>
    <w:rPr>
      <w:rFonts w:eastAsiaTheme="minorHAnsi" w:cstheme="minorBidi"/>
      <w:szCs w:val="22"/>
      <w:lang w:bidi="ar-SA"/>
    </w:rPr>
  </w:style>
  <w:style w:type="character" w:customStyle="1" w:styleId="FootnoteTextChar">
    <w:name w:val="Footnote Text Char"/>
    <w:aliases w:val="Footnotes Text Char,FSFootnotes Text Char,FSFootnote Text Char"/>
    <w:basedOn w:val="DefaultParagraphFont"/>
    <w:link w:val="FootnoteText"/>
    <w:rsid w:val="00DC57AF"/>
    <w:rPr>
      <w:rFonts w:ascii="Arial" w:hAnsi="Arial"/>
      <w:lang w:eastAsia="en-US" w:bidi="en-US"/>
    </w:rPr>
  </w:style>
  <w:style w:type="table" w:styleId="ListTable4">
    <w:name w:val="List Table 4"/>
    <w:basedOn w:val="TableNormal"/>
    <w:uiPriority w:val="49"/>
    <w:rsid w:val="007005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STableFigureHeading">
    <w:name w:val="FSTable/Figure Heading"/>
    <w:basedOn w:val="Normal"/>
    <w:uiPriority w:val="7"/>
    <w:qFormat/>
    <w:locked/>
    <w:rsid w:val="00700578"/>
    <w:pPr>
      <w:widowControl/>
      <w:spacing w:before="120" w:after="120"/>
      <w:ind w:left="1134" w:hanging="1134"/>
    </w:pPr>
    <w:rPr>
      <w:rFonts w:eastAsiaTheme="minorHAnsi" w:cs="Arial"/>
      <w:b/>
      <w:i/>
      <w:color w:val="2E3037"/>
      <w:szCs w:val="22"/>
      <w:lang w:val="en-AU" w:bidi="ar-SA"/>
    </w:rPr>
  </w:style>
  <w:style w:type="paragraph" w:customStyle="1" w:styleId="Default">
    <w:name w:val="Default"/>
    <w:rsid w:val="000D09F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05B77"/>
    <w:rPr>
      <w:rFonts w:ascii="Arial" w:hAnsi="Arial"/>
      <w:szCs w:val="24"/>
      <w:lang w:eastAsia="en-US" w:bidi="en-US"/>
    </w:rPr>
  </w:style>
  <w:style w:type="paragraph" w:styleId="Revision">
    <w:name w:val="Revision"/>
    <w:hidden/>
    <w:uiPriority w:val="99"/>
    <w:semiHidden/>
    <w:rsid w:val="00F4422E"/>
    <w:rPr>
      <w:rFonts w:ascii="Arial" w:hAnsi="Arial"/>
      <w:sz w:val="22"/>
      <w:szCs w:val="24"/>
      <w:lang w:eastAsia="en-US" w:bidi="en-US"/>
    </w:rPr>
  </w:style>
  <w:style w:type="paragraph" w:styleId="Title">
    <w:name w:val="Title"/>
    <w:basedOn w:val="Normal"/>
    <w:link w:val="TitleChar"/>
    <w:rsid w:val="009E035E"/>
    <w:pPr>
      <w:widowControl/>
      <w:jc w:val="center"/>
    </w:pPr>
    <w:rPr>
      <w:b/>
      <w:bCs/>
      <w:i/>
      <w:iCs/>
      <w:lang w:val="en-AU" w:bidi="ar-SA"/>
    </w:rPr>
  </w:style>
  <w:style w:type="character" w:customStyle="1" w:styleId="TitleChar">
    <w:name w:val="Title Char"/>
    <w:basedOn w:val="DefaultParagraphFont"/>
    <w:link w:val="Title"/>
    <w:rsid w:val="009E035E"/>
    <w:rPr>
      <w:rFonts w:ascii="Arial" w:hAnsi="Arial"/>
      <w:b/>
      <w:bCs/>
      <w:i/>
      <w:iCs/>
      <w:sz w:val="22"/>
      <w:szCs w:val="24"/>
      <w:lang w:val="en-AU" w:eastAsia="en-US"/>
    </w:rPr>
  </w:style>
  <w:style w:type="paragraph" w:customStyle="1" w:styleId="FooterFPHFF-23052022-20652PM">
    <w:name w:val="FooterFPHFF-23052022-20652 PM"/>
    <w:rsid w:val="008831FF"/>
    <w:rPr>
      <w:rFonts w:ascii="Arial" w:eastAsiaTheme="minorHAnsi" w:hAnsi="Arial" w:cstheme="minorBidi"/>
      <w:sz w:val="22"/>
      <w:szCs w:val="22"/>
      <w:lang w:eastAsia="en-US"/>
    </w:rPr>
  </w:style>
  <w:style w:type="character" w:customStyle="1" w:styleId="normaltextrun">
    <w:name w:val="normaltextrun"/>
    <w:basedOn w:val="DefaultParagraphFont"/>
    <w:rsid w:val="007F1A60"/>
  </w:style>
  <w:style w:type="character" w:customStyle="1" w:styleId="eop">
    <w:name w:val="eop"/>
    <w:basedOn w:val="DefaultParagraphFont"/>
    <w:rsid w:val="007F1A60"/>
  </w:style>
  <w:style w:type="paragraph" w:customStyle="1" w:styleId="paragraph">
    <w:name w:val="paragraph"/>
    <w:basedOn w:val="Normal"/>
    <w:rsid w:val="00FE3D2B"/>
    <w:pPr>
      <w:widowControl/>
      <w:spacing w:before="100" w:beforeAutospacing="1" w:after="100" w:afterAutospacing="1"/>
    </w:pPr>
    <w:rPr>
      <w:rFonts w:ascii="Times New Roman" w:hAnsi="Times New Roman"/>
      <w:sz w:val="24"/>
      <w:lang w:eastAsia="en-GB" w:bidi="ar-SA"/>
    </w:rPr>
  </w:style>
  <w:style w:type="paragraph" w:customStyle="1" w:styleId="FooterFPHFF-15072022-20530PM">
    <w:name w:val="FooterFPHFF-15072022-20530 PM"/>
    <w:rsid w:val="00965B2C"/>
    <w:pPr>
      <w:widowControl w:val="0"/>
    </w:pPr>
    <w:rPr>
      <w:rFonts w:ascii="Arial" w:hAnsi="Arial"/>
      <w:sz w:val="22"/>
      <w:szCs w:val="24"/>
      <w:lang w:eastAsia="en-US" w:bidi="en-US"/>
    </w:rPr>
  </w:style>
  <w:style w:type="paragraph" w:customStyle="1" w:styleId="FooterPPHFF-25072022-112358AM">
    <w:name w:val="FooterPPHFF-25072022-112358 AM"/>
    <w:rsid w:val="008B0117"/>
    <w:pPr>
      <w:widowControl w:val="0"/>
    </w:pPr>
    <w:rPr>
      <w:rFonts w:ascii="Arial" w:hAnsi="Arial"/>
      <w:sz w:val="22"/>
      <w:szCs w:val="24"/>
      <w:lang w:eastAsia="en-US" w:bidi="en-US"/>
    </w:rPr>
  </w:style>
  <w:style w:type="paragraph" w:customStyle="1" w:styleId="HeaderEPHFF-25072022-42322PM">
    <w:name w:val="HeaderEPHFF-25072022-42322 PM"/>
    <w:rsid w:val="00136983"/>
    <w:rPr>
      <w:rFonts w:ascii="Arial" w:eastAsiaTheme="minorHAnsi" w:hAnsi="Arial" w:cstheme="minorBidi"/>
      <w:sz w:val="22"/>
      <w:szCs w:val="22"/>
      <w:lang w:eastAsia="en-US"/>
    </w:rPr>
  </w:style>
  <w:style w:type="paragraph" w:customStyle="1" w:styleId="FooterPPHFF-28072022-33903PM">
    <w:name w:val="FooterPPHFF-28072022-33903 PM"/>
    <w:rsid w:val="00806F64"/>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findhit">
    <w:name w:val="findhit"/>
    <w:basedOn w:val="DefaultParagraphFont"/>
    <w:rsid w:val="00145622"/>
  </w:style>
  <w:style w:type="paragraph" w:customStyle="1" w:styleId="FooterPPHFF-1082022-112344AM">
    <w:name w:val="FooterPPHFF-1082022-112344 AM"/>
    <w:rsid w:val="00256576"/>
    <w:pPr>
      <w:widowControl w:val="0"/>
    </w:pPr>
    <w:rPr>
      <w:rFonts w:ascii="Arial" w:hAnsi="Arial"/>
      <w:sz w:val="22"/>
      <w:szCs w:val="24"/>
      <w:lang w:eastAsia="en-US" w:bidi="en-US"/>
    </w:rPr>
  </w:style>
  <w:style w:type="paragraph" w:customStyle="1" w:styleId="HeaderFPHFF-18082022-42517PM">
    <w:name w:val="HeaderFPHFF-18082022-42517 PM"/>
    <w:rsid w:val="00FC28C9"/>
    <w:pPr>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82051811">
      <w:bodyDiv w:val="1"/>
      <w:marLeft w:val="0"/>
      <w:marRight w:val="0"/>
      <w:marTop w:val="0"/>
      <w:marBottom w:val="0"/>
      <w:divBdr>
        <w:top w:val="none" w:sz="0" w:space="0" w:color="auto"/>
        <w:left w:val="none" w:sz="0" w:space="0" w:color="auto"/>
        <w:bottom w:val="none" w:sz="0" w:space="0" w:color="auto"/>
        <w:right w:val="none" w:sz="0" w:space="0" w:color="auto"/>
      </w:divBdr>
    </w:div>
    <w:div w:id="961154594">
      <w:bodyDiv w:val="1"/>
      <w:marLeft w:val="0"/>
      <w:marRight w:val="0"/>
      <w:marTop w:val="0"/>
      <w:marBottom w:val="0"/>
      <w:divBdr>
        <w:top w:val="none" w:sz="0" w:space="0" w:color="auto"/>
        <w:left w:val="none" w:sz="0" w:space="0" w:color="auto"/>
        <w:bottom w:val="none" w:sz="0" w:space="0" w:color="auto"/>
        <w:right w:val="none" w:sz="0" w:space="0" w:color="auto"/>
      </w:divBdr>
    </w:div>
    <w:div w:id="967472517">
      <w:bodyDiv w:val="1"/>
      <w:marLeft w:val="0"/>
      <w:marRight w:val="0"/>
      <w:marTop w:val="0"/>
      <w:marBottom w:val="0"/>
      <w:divBdr>
        <w:top w:val="none" w:sz="0" w:space="0" w:color="auto"/>
        <w:left w:val="none" w:sz="0" w:space="0" w:color="auto"/>
        <w:bottom w:val="none" w:sz="0" w:space="0" w:color="auto"/>
        <w:right w:val="none" w:sz="0" w:space="0" w:color="auto"/>
      </w:divBdr>
      <w:divsChild>
        <w:div w:id="1617059648">
          <w:marLeft w:val="0"/>
          <w:marRight w:val="0"/>
          <w:marTop w:val="0"/>
          <w:marBottom w:val="0"/>
          <w:divBdr>
            <w:top w:val="none" w:sz="0" w:space="0" w:color="auto"/>
            <w:left w:val="none" w:sz="0" w:space="0" w:color="auto"/>
            <w:bottom w:val="none" w:sz="0" w:space="0" w:color="auto"/>
            <w:right w:val="none" w:sz="0" w:space="0" w:color="auto"/>
          </w:divBdr>
          <w:divsChild>
            <w:div w:id="674306149">
              <w:marLeft w:val="0"/>
              <w:marRight w:val="0"/>
              <w:marTop w:val="0"/>
              <w:marBottom w:val="0"/>
              <w:divBdr>
                <w:top w:val="none" w:sz="0" w:space="0" w:color="auto"/>
                <w:left w:val="none" w:sz="0" w:space="0" w:color="auto"/>
                <w:bottom w:val="none" w:sz="0" w:space="0" w:color="auto"/>
                <w:right w:val="none" w:sz="0" w:space="0" w:color="auto"/>
              </w:divBdr>
              <w:divsChild>
                <w:div w:id="314342503">
                  <w:marLeft w:val="0"/>
                  <w:marRight w:val="0"/>
                  <w:marTop w:val="0"/>
                  <w:marBottom w:val="0"/>
                  <w:divBdr>
                    <w:top w:val="none" w:sz="0" w:space="0" w:color="auto"/>
                    <w:left w:val="none" w:sz="0" w:space="0" w:color="auto"/>
                    <w:bottom w:val="none" w:sz="0" w:space="0" w:color="auto"/>
                    <w:right w:val="none" w:sz="0" w:space="0" w:color="auto"/>
                  </w:divBdr>
                  <w:divsChild>
                    <w:div w:id="1544443874">
                      <w:marLeft w:val="0"/>
                      <w:marRight w:val="0"/>
                      <w:marTop w:val="0"/>
                      <w:marBottom w:val="0"/>
                      <w:divBdr>
                        <w:top w:val="none" w:sz="0" w:space="0" w:color="auto"/>
                        <w:left w:val="none" w:sz="0" w:space="0" w:color="auto"/>
                        <w:bottom w:val="none" w:sz="0" w:space="0" w:color="auto"/>
                        <w:right w:val="none" w:sz="0" w:space="0" w:color="auto"/>
                      </w:divBdr>
                      <w:divsChild>
                        <w:div w:id="515270035">
                          <w:marLeft w:val="0"/>
                          <w:marRight w:val="0"/>
                          <w:marTop w:val="0"/>
                          <w:marBottom w:val="0"/>
                          <w:divBdr>
                            <w:top w:val="none" w:sz="0" w:space="0" w:color="auto"/>
                            <w:left w:val="none" w:sz="0" w:space="0" w:color="auto"/>
                            <w:bottom w:val="none" w:sz="0" w:space="0" w:color="auto"/>
                            <w:right w:val="none" w:sz="0" w:space="0" w:color="auto"/>
                          </w:divBdr>
                          <w:divsChild>
                            <w:div w:id="783427297">
                              <w:marLeft w:val="0"/>
                              <w:marRight w:val="0"/>
                              <w:marTop w:val="0"/>
                              <w:marBottom w:val="0"/>
                              <w:divBdr>
                                <w:top w:val="none" w:sz="0" w:space="0" w:color="auto"/>
                                <w:left w:val="none" w:sz="0" w:space="0" w:color="auto"/>
                                <w:bottom w:val="none" w:sz="0" w:space="0" w:color="auto"/>
                                <w:right w:val="none" w:sz="0" w:space="0" w:color="auto"/>
                              </w:divBdr>
                              <w:divsChild>
                                <w:div w:id="681975334">
                                  <w:marLeft w:val="0"/>
                                  <w:marRight w:val="0"/>
                                  <w:marTop w:val="0"/>
                                  <w:marBottom w:val="0"/>
                                  <w:divBdr>
                                    <w:top w:val="none" w:sz="0" w:space="0" w:color="auto"/>
                                    <w:left w:val="none" w:sz="0" w:space="0" w:color="auto"/>
                                    <w:bottom w:val="none" w:sz="0" w:space="0" w:color="auto"/>
                                    <w:right w:val="none" w:sz="0" w:space="0" w:color="auto"/>
                                  </w:divBdr>
                                  <w:divsChild>
                                    <w:div w:id="1219779098">
                                      <w:marLeft w:val="0"/>
                                      <w:marRight w:val="0"/>
                                      <w:marTop w:val="0"/>
                                      <w:marBottom w:val="0"/>
                                      <w:divBdr>
                                        <w:top w:val="none" w:sz="0" w:space="0" w:color="auto"/>
                                        <w:left w:val="none" w:sz="0" w:space="0" w:color="auto"/>
                                        <w:bottom w:val="none" w:sz="0" w:space="0" w:color="auto"/>
                                        <w:right w:val="none" w:sz="0" w:space="0" w:color="auto"/>
                                      </w:divBdr>
                                      <w:divsChild>
                                        <w:div w:id="699553482">
                                          <w:marLeft w:val="0"/>
                                          <w:marRight w:val="0"/>
                                          <w:marTop w:val="0"/>
                                          <w:marBottom w:val="0"/>
                                          <w:divBdr>
                                            <w:top w:val="none" w:sz="0" w:space="0" w:color="auto"/>
                                            <w:left w:val="none" w:sz="0" w:space="0" w:color="auto"/>
                                            <w:bottom w:val="none" w:sz="0" w:space="0" w:color="auto"/>
                                            <w:right w:val="none" w:sz="0" w:space="0" w:color="auto"/>
                                          </w:divBdr>
                                          <w:divsChild>
                                            <w:div w:id="466433779">
                                              <w:marLeft w:val="0"/>
                                              <w:marRight w:val="0"/>
                                              <w:marTop w:val="0"/>
                                              <w:marBottom w:val="0"/>
                                              <w:divBdr>
                                                <w:top w:val="none" w:sz="0" w:space="0" w:color="auto"/>
                                                <w:left w:val="none" w:sz="0" w:space="0" w:color="auto"/>
                                                <w:bottom w:val="none" w:sz="0" w:space="0" w:color="auto"/>
                                                <w:right w:val="none" w:sz="0" w:space="0" w:color="auto"/>
                                              </w:divBdr>
                                              <w:divsChild>
                                                <w:div w:id="15698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www.fao.org/docrep/009/a0691e/A0691E03.htm" TargetMode="External"/><Relationship Id="rId3" Type="http://schemas.openxmlformats.org/officeDocument/2006/relationships/customXml" Target="../customXml/item3.xml"/><Relationship Id="rId21" Type="http://schemas.openxmlformats.org/officeDocument/2006/relationships/hyperlink" Target="https://www.uniprot.org/"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iubmb.qmul.ac.uk/enzyme/EC3/2/1/3.html"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who.int/docs/default-source/food-safety/publications/chapter6-dietary-exposure.pdf?sfvrsn=26d37b15_6"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brenda-enzymes.org/enzyme.php?ecno=3.2.1.3" TargetMode="External"/><Relationship Id="rId28" Type="http://schemas.openxmlformats.org/officeDocument/2006/relationships/header" Target="header4.xml"/><Relationship Id="rId36"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5.xml"/><Relationship Id="rId35"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allergenonline.org/" TargetMode="External"/><Relationship Id="rId27" Type="http://schemas.openxmlformats.org/officeDocument/2006/relationships/hyperlink" Target="http://publications.usp.org/" TargetMode="External"/><Relationship Id="rId30"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969ED-A324-4613-B1AA-D1EFCB532E59}"/>
</file>

<file path=customXml/itemProps2.xml><?xml version="1.0" encoding="utf-8"?>
<ds:datastoreItem xmlns:ds="http://schemas.openxmlformats.org/officeDocument/2006/customXml" ds:itemID="{E114BACE-24BD-4A99-9B34-651411941D94}"/>
</file>

<file path=customXml/itemProps3.xml><?xml version="1.0" encoding="utf-8"?>
<ds:datastoreItem xmlns:ds="http://schemas.openxmlformats.org/officeDocument/2006/customXml" ds:itemID="{75EABEFA-D102-4CFC-A12B-444CAC4D7F86}"/>
</file>

<file path=customXml/itemProps4.xml><?xml version="1.0" encoding="utf-8"?>
<ds:datastoreItem xmlns:ds="http://schemas.openxmlformats.org/officeDocument/2006/customXml" ds:itemID="{004A83E9-A6BE-4A5C-8077-CB6151547045}">
  <ds:schemaRefs>
    <ds:schemaRef ds:uri="Microsoft.SharePoint.Taxonomy.ContentTypeSync"/>
  </ds:schemaRefs>
</ds:datastoreItem>
</file>

<file path=customXml/itemProps5.xml><?xml version="1.0" encoding="utf-8"?>
<ds:datastoreItem xmlns:ds="http://schemas.openxmlformats.org/officeDocument/2006/customXml" ds:itemID="{26C6598A-9EAD-4D4D-A1B2-2DB6D6FCCC3B}"/>
</file>

<file path=customXml/itemProps6.xml><?xml version="1.0" encoding="utf-8"?>
<ds:datastoreItem xmlns:ds="http://schemas.openxmlformats.org/officeDocument/2006/customXml" ds:itemID="{74A884E5-0FA7-40B8-972D-94EDFAFB72A3}"/>
</file>

<file path=docProps/app.xml><?xml version="1.0" encoding="utf-8"?>
<Properties xmlns="http://schemas.openxmlformats.org/officeDocument/2006/extended-properties" xmlns:vt="http://schemas.openxmlformats.org/officeDocument/2006/docPropsVTypes">
  <Template>Normal</Template>
  <TotalTime>2</TotalTime>
  <Pages>16</Pages>
  <Words>6181</Words>
  <Characters>35232</Characters>
  <Application>Microsoft Office Word</Application>
  <DocSecurity>0</DocSecurity>
  <Lines>293</Lines>
  <Paragraphs>82</Paragraphs>
  <ScaleCrop>false</ScaleCrop>
  <Company>ANZFA</Company>
  <LinksUpToDate>false</LinksUpToDate>
  <CharactersWithSpaces>41331</CharactersWithSpaces>
  <SharedDoc>false</SharedDoc>
  <HLinks>
    <vt:vector size="216" baseType="variant">
      <vt:variant>
        <vt:i4>1572886</vt:i4>
      </vt:variant>
      <vt:variant>
        <vt:i4>195</vt:i4>
      </vt:variant>
      <vt:variant>
        <vt:i4>0</vt:i4>
      </vt:variant>
      <vt:variant>
        <vt:i4>5</vt:i4>
      </vt:variant>
      <vt:variant>
        <vt:lpwstr>http://publications.usp.org/</vt:lpwstr>
      </vt:variant>
      <vt:variant>
        <vt:lpwstr/>
      </vt:variant>
      <vt:variant>
        <vt:i4>1572952</vt:i4>
      </vt:variant>
      <vt:variant>
        <vt:i4>192</vt:i4>
      </vt:variant>
      <vt:variant>
        <vt:i4>0</vt:i4>
      </vt:variant>
      <vt:variant>
        <vt:i4>5</vt:i4>
      </vt:variant>
      <vt:variant>
        <vt:lpwstr>http://www.fao.org/docrep/009/a0691e/A0691E03.htm</vt:lpwstr>
      </vt:variant>
      <vt:variant>
        <vt:lpwstr/>
      </vt:variant>
      <vt:variant>
        <vt:i4>2424875</vt:i4>
      </vt:variant>
      <vt:variant>
        <vt:i4>189</vt:i4>
      </vt:variant>
      <vt:variant>
        <vt:i4>0</vt:i4>
      </vt:variant>
      <vt:variant>
        <vt:i4>5</vt:i4>
      </vt:variant>
      <vt:variant>
        <vt:lpwstr>https://iubmb.qmul.ac.uk/enzyme/EC3/2/1/3.html</vt:lpwstr>
      </vt:variant>
      <vt:variant>
        <vt:lpwstr/>
      </vt:variant>
      <vt:variant>
        <vt:i4>1572989</vt:i4>
      </vt:variant>
      <vt:variant>
        <vt:i4>186</vt:i4>
      </vt:variant>
      <vt:variant>
        <vt:i4>0</vt:i4>
      </vt:variant>
      <vt:variant>
        <vt:i4>5</vt:i4>
      </vt:variant>
      <vt:variant>
        <vt:lpwstr>https://www.who.int/docs/default-source/food-safety/publications/chapter6-dietary-exposure.pdf?sfvrsn=26d37b15_6</vt:lpwstr>
      </vt:variant>
      <vt:variant>
        <vt:lpwstr/>
      </vt:variant>
      <vt:variant>
        <vt:i4>3670117</vt:i4>
      </vt:variant>
      <vt:variant>
        <vt:i4>183</vt:i4>
      </vt:variant>
      <vt:variant>
        <vt:i4>0</vt:i4>
      </vt:variant>
      <vt:variant>
        <vt:i4>5</vt:i4>
      </vt:variant>
      <vt:variant>
        <vt:lpwstr>https://www.brenda-enzymes.org/enzyme.php?ecno=3.2.1.3</vt:lpwstr>
      </vt:variant>
      <vt:variant>
        <vt:lpwstr/>
      </vt:variant>
      <vt:variant>
        <vt:i4>3080250</vt:i4>
      </vt:variant>
      <vt:variant>
        <vt:i4>180</vt:i4>
      </vt:variant>
      <vt:variant>
        <vt:i4>0</vt:i4>
      </vt:variant>
      <vt:variant>
        <vt:i4>5</vt:i4>
      </vt:variant>
      <vt:variant>
        <vt:lpwstr>http://www.allergenonline.org/</vt:lpwstr>
      </vt:variant>
      <vt:variant>
        <vt:lpwstr/>
      </vt:variant>
      <vt:variant>
        <vt:i4>4849746</vt:i4>
      </vt:variant>
      <vt:variant>
        <vt:i4>177</vt:i4>
      </vt:variant>
      <vt:variant>
        <vt:i4>0</vt:i4>
      </vt:variant>
      <vt:variant>
        <vt:i4>5</vt:i4>
      </vt:variant>
      <vt:variant>
        <vt:lpwstr>https://www.uniprot.org/</vt:lpwstr>
      </vt:variant>
      <vt:variant>
        <vt:lpwstr/>
      </vt:variant>
      <vt:variant>
        <vt:i4>1638455</vt:i4>
      </vt:variant>
      <vt:variant>
        <vt:i4>170</vt:i4>
      </vt:variant>
      <vt:variant>
        <vt:i4>0</vt:i4>
      </vt:variant>
      <vt:variant>
        <vt:i4>5</vt:i4>
      </vt:variant>
      <vt:variant>
        <vt:lpwstr/>
      </vt:variant>
      <vt:variant>
        <vt:lpwstr>_Toc109984732</vt:lpwstr>
      </vt:variant>
      <vt:variant>
        <vt:i4>1638455</vt:i4>
      </vt:variant>
      <vt:variant>
        <vt:i4>164</vt:i4>
      </vt:variant>
      <vt:variant>
        <vt:i4>0</vt:i4>
      </vt:variant>
      <vt:variant>
        <vt:i4>5</vt:i4>
      </vt:variant>
      <vt:variant>
        <vt:lpwstr/>
      </vt:variant>
      <vt:variant>
        <vt:lpwstr>_Toc109984731</vt:lpwstr>
      </vt:variant>
      <vt:variant>
        <vt:i4>1638455</vt:i4>
      </vt:variant>
      <vt:variant>
        <vt:i4>158</vt:i4>
      </vt:variant>
      <vt:variant>
        <vt:i4>0</vt:i4>
      </vt:variant>
      <vt:variant>
        <vt:i4>5</vt:i4>
      </vt:variant>
      <vt:variant>
        <vt:lpwstr/>
      </vt:variant>
      <vt:variant>
        <vt:lpwstr>_Toc109984730</vt:lpwstr>
      </vt:variant>
      <vt:variant>
        <vt:i4>1572919</vt:i4>
      </vt:variant>
      <vt:variant>
        <vt:i4>152</vt:i4>
      </vt:variant>
      <vt:variant>
        <vt:i4>0</vt:i4>
      </vt:variant>
      <vt:variant>
        <vt:i4>5</vt:i4>
      </vt:variant>
      <vt:variant>
        <vt:lpwstr/>
      </vt:variant>
      <vt:variant>
        <vt:lpwstr>_Toc109984729</vt:lpwstr>
      </vt:variant>
      <vt:variant>
        <vt:i4>1572919</vt:i4>
      </vt:variant>
      <vt:variant>
        <vt:i4>146</vt:i4>
      </vt:variant>
      <vt:variant>
        <vt:i4>0</vt:i4>
      </vt:variant>
      <vt:variant>
        <vt:i4>5</vt:i4>
      </vt:variant>
      <vt:variant>
        <vt:lpwstr/>
      </vt:variant>
      <vt:variant>
        <vt:lpwstr>_Toc109984728</vt:lpwstr>
      </vt:variant>
      <vt:variant>
        <vt:i4>1572919</vt:i4>
      </vt:variant>
      <vt:variant>
        <vt:i4>140</vt:i4>
      </vt:variant>
      <vt:variant>
        <vt:i4>0</vt:i4>
      </vt:variant>
      <vt:variant>
        <vt:i4>5</vt:i4>
      </vt:variant>
      <vt:variant>
        <vt:lpwstr/>
      </vt:variant>
      <vt:variant>
        <vt:lpwstr>_Toc109984727</vt:lpwstr>
      </vt:variant>
      <vt:variant>
        <vt:i4>1572919</vt:i4>
      </vt:variant>
      <vt:variant>
        <vt:i4>134</vt:i4>
      </vt:variant>
      <vt:variant>
        <vt:i4>0</vt:i4>
      </vt:variant>
      <vt:variant>
        <vt:i4>5</vt:i4>
      </vt:variant>
      <vt:variant>
        <vt:lpwstr/>
      </vt:variant>
      <vt:variant>
        <vt:lpwstr>_Toc109984726</vt:lpwstr>
      </vt:variant>
      <vt:variant>
        <vt:i4>1572919</vt:i4>
      </vt:variant>
      <vt:variant>
        <vt:i4>128</vt:i4>
      </vt:variant>
      <vt:variant>
        <vt:i4>0</vt:i4>
      </vt:variant>
      <vt:variant>
        <vt:i4>5</vt:i4>
      </vt:variant>
      <vt:variant>
        <vt:lpwstr/>
      </vt:variant>
      <vt:variant>
        <vt:lpwstr>_Toc109984725</vt:lpwstr>
      </vt:variant>
      <vt:variant>
        <vt:i4>1572919</vt:i4>
      </vt:variant>
      <vt:variant>
        <vt:i4>122</vt:i4>
      </vt:variant>
      <vt:variant>
        <vt:i4>0</vt:i4>
      </vt:variant>
      <vt:variant>
        <vt:i4>5</vt:i4>
      </vt:variant>
      <vt:variant>
        <vt:lpwstr/>
      </vt:variant>
      <vt:variant>
        <vt:lpwstr>_Toc109984724</vt:lpwstr>
      </vt:variant>
      <vt:variant>
        <vt:i4>1572919</vt:i4>
      </vt:variant>
      <vt:variant>
        <vt:i4>116</vt:i4>
      </vt:variant>
      <vt:variant>
        <vt:i4>0</vt:i4>
      </vt:variant>
      <vt:variant>
        <vt:i4>5</vt:i4>
      </vt:variant>
      <vt:variant>
        <vt:lpwstr/>
      </vt:variant>
      <vt:variant>
        <vt:lpwstr>_Toc109984723</vt:lpwstr>
      </vt:variant>
      <vt:variant>
        <vt:i4>1572919</vt:i4>
      </vt:variant>
      <vt:variant>
        <vt:i4>110</vt:i4>
      </vt:variant>
      <vt:variant>
        <vt:i4>0</vt:i4>
      </vt:variant>
      <vt:variant>
        <vt:i4>5</vt:i4>
      </vt:variant>
      <vt:variant>
        <vt:lpwstr/>
      </vt:variant>
      <vt:variant>
        <vt:lpwstr>_Toc109984722</vt:lpwstr>
      </vt:variant>
      <vt:variant>
        <vt:i4>1572919</vt:i4>
      </vt:variant>
      <vt:variant>
        <vt:i4>104</vt:i4>
      </vt:variant>
      <vt:variant>
        <vt:i4>0</vt:i4>
      </vt:variant>
      <vt:variant>
        <vt:i4>5</vt:i4>
      </vt:variant>
      <vt:variant>
        <vt:lpwstr/>
      </vt:variant>
      <vt:variant>
        <vt:lpwstr>_Toc109984721</vt:lpwstr>
      </vt:variant>
      <vt:variant>
        <vt:i4>1572919</vt:i4>
      </vt:variant>
      <vt:variant>
        <vt:i4>98</vt:i4>
      </vt:variant>
      <vt:variant>
        <vt:i4>0</vt:i4>
      </vt:variant>
      <vt:variant>
        <vt:i4>5</vt:i4>
      </vt:variant>
      <vt:variant>
        <vt:lpwstr/>
      </vt:variant>
      <vt:variant>
        <vt:lpwstr>_Toc109984720</vt:lpwstr>
      </vt:variant>
      <vt:variant>
        <vt:i4>1769527</vt:i4>
      </vt:variant>
      <vt:variant>
        <vt:i4>92</vt:i4>
      </vt:variant>
      <vt:variant>
        <vt:i4>0</vt:i4>
      </vt:variant>
      <vt:variant>
        <vt:i4>5</vt:i4>
      </vt:variant>
      <vt:variant>
        <vt:lpwstr/>
      </vt:variant>
      <vt:variant>
        <vt:lpwstr>_Toc109984719</vt:lpwstr>
      </vt:variant>
      <vt:variant>
        <vt:i4>1769527</vt:i4>
      </vt:variant>
      <vt:variant>
        <vt:i4>86</vt:i4>
      </vt:variant>
      <vt:variant>
        <vt:i4>0</vt:i4>
      </vt:variant>
      <vt:variant>
        <vt:i4>5</vt:i4>
      </vt:variant>
      <vt:variant>
        <vt:lpwstr/>
      </vt:variant>
      <vt:variant>
        <vt:lpwstr>_Toc109984718</vt:lpwstr>
      </vt:variant>
      <vt:variant>
        <vt:i4>1769527</vt:i4>
      </vt:variant>
      <vt:variant>
        <vt:i4>80</vt:i4>
      </vt:variant>
      <vt:variant>
        <vt:i4>0</vt:i4>
      </vt:variant>
      <vt:variant>
        <vt:i4>5</vt:i4>
      </vt:variant>
      <vt:variant>
        <vt:lpwstr/>
      </vt:variant>
      <vt:variant>
        <vt:lpwstr>_Toc109984717</vt:lpwstr>
      </vt:variant>
      <vt:variant>
        <vt:i4>1769527</vt:i4>
      </vt:variant>
      <vt:variant>
        <vt:i4>74</vt:i4>
      </vt:variant>
      <vt:variant>
        <vt:i4>0</vt:i4>
      </vt:variant>
      <vt:variant>
        <vt:i4>5</vt:i4>
      </vt:variant>
      <vt:variant>
        <vt:lpwstr/>
      </vt:variant>
      <vt:variant>
        <vt:lpwstr>_Toc109984716</vt:lpwstr>
      </vt:variant>
      <vt:variant>
        <vt:i4>1769527</vt:i4>
      </vt:variant>
      <vt:variant>
        <vt:i4>68</vt:i4>
      </vt:variant>
      <vt:variant>
        <vt:i4>0</vt:i4>
      </vt:variant>
      <vt:variant>
        <vt:i4>5</vt:i4>
      </vt:variant>
      <vt:variant>
        <vt:lpwstr/>
      </vt:variant>
      <vt:variant>
        <vt:lpwstr>_Toc109984715</vt:lpwstr>
      </vt:variant>
      <vt:variant>
        <vt:i4>1769527</vt:i4>
      </vt:variant>
      <vt:variant>
        <vt:i4>62</vt:i4>
      </vt:variant>
      <vt:variant>
        <vt:i4>0</vt:i4>
      </vt:variant>
      <vt:variant>
        <vt:i4>5</vt:i4>
      </vt:variant>
      <vt:variant>
        <vt:lpwstr/>
      </vt:variant>
      <vt:variant>
        <vt:lpwstr>_Toc109984714</vt:lpwstr>
      </vt:variant>
      <vt:variant>
        <vt:i4>1769527</vt:i4>
      </vt:variant>
      <vt:variant>
        <vt:i4>56</vt:i4>
      </vt:variant>
      <vt:variant>
        <vt:i4>0</vt:i4>
      </vt:variant>
      <vt:variant>
        <vt:i4>5</vt:i4>
      </vt:variant>
      <vt:variant>
        <vt:lpwstr/>
      </vt:variant>
      <vt:variant>
        <vt:lpwstr>_Toc109984713</vt:lpwstr>
      </vt:variant>
      <vt:variant>
        <vt:i4>1769527</vt:i4>
      </vt:variant>
      <vt:variant>
        <vt:i4>50</vt:i4>
      </vt:variant>
      <vt:variant>
        <vt:i4>0</vt:i4>
      </vt:variant>
      <vt:variant>
        <vt:i4>5</vt:i4>
      </vt:variant>
      <vt:variant>
        <vt:lpwstr/>
      </vt:variant>
      <vt:variant>
        <vt:lpwstr>_Toc109984712</vt:lpwstr>
      </vt:variant>
      <vt:variant>
        <vt:i4>1769527</vt:i4>
      </vt:variant>
      <vt:variant>
        <vt:i4>44</vt:i4>
      </vt:variant>
      <vt:variant>
        <vt:i4>0</vt:i4>
      </vt:variant>
      <vt:variant>
        <vt:i4>5</vt:i4>
      </vt:variant>
      <vt:variant>
        <vt:lpwstr/>
      </vt:variant>
      <vt:variant>
        <vt:lpwstr>_Toc109984711</vt:lpwstr>
      </vt:variant>
      <vt:variant>
        <vt:i4>1769527</vt:i4>
      </vt:variant>
      <vt:variant>
        <vt:i4>38</vt:i4>
      </vt:variant>
      <vt:variant>
        <vt:i4>0</vt:i4>
      </vt:variant>
      <vt:variant>
        <vt:i4>5</vt:i4>
      </vt:variant>
      <vt:variant>
        <vt:lpwstr/>
      </vt:variant>
      <vt:variant>
        <vt:lpwstr>_Toc109984710</vt:lpwstr>
      </vt:variant>
      <vt:variant>
        <vt:i4>1703991</vt:i4>
      </vt:variant>
      <vt:variant>
        <vt:i4>32</vt:i4>
      </vt:variant>
      <vt:variant>
        <vt:i4>0</vt:i4>
      </vt:variant>
      <vt:variant>
        <vt:i4>5</vt:i4>
      </vt:variant>
      <vt:variant>
        <vt:lpwstr/>
      </vt:variant>
      <vt:variant>
        <vt:lpwstr>_Toc109984709</vt:lpwstr>
      </vt:variant>
      <vt:variant>
        <vt:i4>1703991</vt:i4>
      </vt:variant>
      <vt:variant>
        <vt:i4>26</vt:i4>
      </vt:variant>
      <vt:variant>
        <vt:i4>0</vt:i4>
      </vt:variant>
      <vt:variant>
        <vt:i4>5</vt:i4>
      </vt:variant>
      <vt:variant>
        <vt:lpwstr/>
      </vt:variant>
      <vt:variant>
        <vt:lpwstr>_Toc109984708</vt:lpwstr>
      </vt:variant>
      <vt:variant>
        <vt:i4>1703991</vt:i4>
      </vt:variant>
      <vt:variant>
        <vt:i4>20</vt:i4>
      </vt:variant>
      <vt:variant>
        <vt:i4>0</vt:i4>
      </vt:variant>
      <vt:variant>
        <vt:i4>5</vt:i4>
      </vt:variant>
      <vt:variant>
        <vt:lpwstr/>
      </vt:variant>
      <vt:variant>
        <vt:lpwstr>_Toc109984707</vt:lpwstr>
      </vt:variant>
      <vt:variant>
        <vt:i4>1703991</vt:i4>
      </vt:variant>
      <vt:variant>
        <vt:i4>14</vt:i4>
      </vt:variant>
      <vt:variant>
        <vt:i4>0</vt:i4>
      </vt:variant>
      <vt:variant>
        <vt:i4>5</vt:i4>
      </vt:variant>
      <vt:variant>
        <vt:lpwstr/>
      </vt:variant>
      <vt:variant>
        <vt:lpwstr>_Toc109984706</vt:lpwstr>
      </vt:variant>
      <vt:variant>
        <vt:i4>1703991</vt:i4>
      </vt:variant>
      <vt:variant>
        <vt:i4>8</vt:i4>
      </vt:variant>
      <vt:variant>
        <vt:i4>0</vt:i4>
      </vt:variant>
      <vt:variant>
        <vt:i4>5</vt:i4>
      </vt:variant>
      <vt:variant>
        <vt:lpwstr/>
      </vt:variant>
      <vt:variant>
        <vt:lpwstr>_Toc109984705</vt:lpwstr>
      </vt:variant>
      <vt:variant>
        <vt:i4>1703991</vt:i4>
      </vt:variant>
      <vt:variant>
        <vt:i4>2</vt:i4>
      </vt:variant>
      <vt:variant>
        <vt:i4>0</vt:i4>
      </vt:variant>
      <vt:variant>
        <vt:i4>5</vt:i4>
      </vt:variant>
      <vt:variant>
        <vt:lpwstr/>
      </vt:variant>
      <vt:variant>
        <vt:lpwstr>_Toc109984704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A1252 SD1</dc:title>
  <dc:creator>seymok</dc:creator>
  <cp:keywords/>
  <cp:lastModifiedBy>Gabrielle Weidner</cp:lastModifiedBy>
  <cp:revision>2</cp:revision>
  <cp:lastPrinted>2022-09-02T04:07:00Z</cp:lastPrinted>
  <dcterms:created xsi:type="dcterms:W3CDTF">2022-09-26T00:47:00Z</dcterms:created>
  <dcterms:modified xsi:type="dcterms:W3CDTF">2022-09-26T00:47:00Z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7e7bd02e-50f9-4dba-8a1f-c9c8dc588a33</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RecordPoint_WorkflowType">
    <vt:lpwstr>ActiveSubmitStub</vt:lpwstr>
  </property>
  <property fmtid="{D5CDD505-2E9C-101B-9397-08002B2CF9AE}" pid="9" name="RecordPoint_ActiveItemUniqueId">
    <vt:lpwstr>{cf60a4ec-8488-4aa7-9cc6-2341e08181c1}</vt:lpwstr>
  </property>
  <property fmtid="{D5CDD505-2E9C-101B-9397-08002B2CF9AE}" pid="10" name="RecordPoint_ActiveItemWebId">
    <vt:lpwstr>{9f32cbb2-cc3f-4615-8249-96682d133422}</vt:lpwstr>
  </property>
  <property fmtid="{D5CDD505-2E9C-101B-9397-08002B2CF9AE}" pid="11" name="RecordPoint_ActiveItemSiteId">
    <vt:lpwstr>{dd95a578-5c6a-4f11-92f7-f95884d628d6}</vt:lpwstr>
  </property>
  <property fmtid="{D5CDD505-2E9C-101B-9397-08002B2CF9AE}" pid="12" name="RecordPoint_ActiveItemListId">
    <vt:lpwstr>{172782ef-0a30-45fb-933d-b589b6c6e6ea}</vt:lpwstr>
  </property>
  <property fmtid="{D5CDD505-2E9C-101B-9397-08002B2CF9AE}" pid="13" name="RecordPoint_RecordNumberSubmitted">
    <vt:lpwstr>R0000205356</vt:lpwstr>
  </property>
  <property fmtid="{D5CDD505-2E9C-101B-9397-08002B2CF9AE}" pid="14" name="RecordPoint_SubmissionCompleted">
    <vt:lpwstr>2022-04-11T11:00:06.7342102+10:00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uid="dd6c74cc-0de9-4a0a-85ef-439e2ceecf74" value="" /&gt;&lt;/sisl&gt;</vt:lpwstr>
  </property>
  <property fmtid="{D5CDD505-2E9C-101B-9397-08002B2CF9AE}" pid="17" name="bjDocumentSecurityLabel">
    <vt:lpwstr>OFFICIAL</vt:lpwstr>
  </property>
  <property fmtid="{D5CDD505-2E9C-101B-9397-08002B2CF9AE}" pid="18" name="bjHeaderBothDocProperty">
    <vt:lpwstr>OFFICIAL_x000d_
 </vt:lpwstr>
  </property>
  <property fmtid="{D5CDD505-2E9C-101B-9397-08002B2CF9AE}" pid="19" name="bjHeaderFirstPageDocProperty">
    <vt:lpwstr>OFFICIAL_x000d_
 </vt:lpwstr>
  </property>
  <property fmtid="{D5CDD505-2E9C-101B-9397-08002B2CF9AE}" pid="20" name="bjHeaderEvenPageDocProperty">
    <vt:lpwstr>OFFICIAL_x000d_
 </vt:lpwstr>
  </property>
  <property fmtid="{D5CDD505-2E9C-101B-9397-08002B2CF9AE}" pid="21" name="bjFooterBothDocProperty">
    <vt:lpwstr>_x000d_
OFFICIAL </vt:lpwstr>
  </property>
  <property fmtid="{D5CDD505-2E9C-101B-9397-08002B2CF9AE}" pid="22" name="bjFooterFirstPageDocProperty">
    <vt:lpwstr>_x000d_
OFFICIAL </vt:lpwstr>
  </property>
  <property fmtid="{D5CDD505-2E9C-101B-9397-08002B2CF9AE}" pid="23" name="bjFooterEvenPageDocProperty">
    <vt:lpwstr>_x000d_
OFFICIAL </vt:lpwstr>
  </property>
  <property fmtid="{D5CDD505-2E9C-101B-9397-08002B2CF9AE}" pid="24" name="bjClsUserRVM">
    <vt:lpwstr>[]</vt:lpwstr>
  </property>
  <property fmtid="{D5CDD505-2E9C-101B-9397-08002B2CF9AE}" pid="25" name="pd3a3559ef84480a8025c4c7bb6e6dee">
    <vt:lpwstr/>
  </property>
  <property fmtid="{D5CDD505-2E9C-101B-9397-08002B2CF9AE}" pid="26" name="h46016694f704d158a57d0b5238c000e">
    <vt:lpwstr/>
  </property>
  <property fmtid="{D5CDD505-2E9C-101B-9397-08002B2CF9AE}" pid="27" name="Data_x0020_Privacy">
    <vt:lpwstr/>
  </property>
  <property fmtid="{D5CDD505-2E9C-101B-9397-08002B2CF9AE}" pid="28" name="Data Privacy">
    <vt:lpwstr/>
  </property>
  <property fmtid="{D5CDD505-2E9C-101B-9397-08002B2CF9AE}" pid="29" name="Data Accessibility">
    <vt:lpwstr/>
  </property>
  <property fmtid="{D5CDD505-2E9C-101B-9397-08002B2CF9AE}" pid="30" name="BCS">
    <vt:lpwstr>2;#Evaluation|43cb9915-dbd2-4e45-b39d-7bc5c58c72da</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Data Category">
    <vt:lpwstr/>
  </property>
</Properties>
</file>